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b/>
          <w:bCs/>
          <w:sz w:val="44"/>
        </w:rPr>
      </w:pPr>
    </w:p>
    <w:p>
      <w:pPr>
        <w:jc w:val="center"/>
        <w:rPr>
          <w:b/>
          <w:bCs/>
          <w:sz w:val="44"/>
        </w:rPr>
      </w:pPr>
    </w:p>
    <w:p>
      <w:pPr>
        <w:jc w:val="center"/>
        <w:rPr>
          <w:b/>
          <w:bCs/>
          <w:sz w:val="44"/>
        </w:rPr>
      </w:pPr>
    </w:p>
    <w:p>
      <w:pPr>
        <w:jc w:val="center"/>
        <w:rPr>
          <w:rFonts w:ascii="黑体" w:hAnsi="黑体" w:eastAsia="黑体"/>
          <w:b/>
          <w:bCs/>
          <w:sz w:val="72"/>
          <w:szCs w:val="72"/>
        </w:rPr>
      </w:pPr>
      <w:r>
        <w:rPr>
          <w:rFonts w:hint="eastAsia" w:ascii="黑体" w:hAnsi="黑体" w:eastAsia="黑体"/>
          <w:b/>
          <w:bCs/>
          <w:sz w:val="72"/>
          <w:szCs w:val="72"/>
        </w:rPr>
        <w:t>江苏诚意住宅工业科技发展有限公司</w:t>
      </w:r>
    </w:p>
    <w:p>
      <w:pPr>
        <w:jc w:val="center"/>
        <w:rPr>
          <w:rFonts w:ascii="黑体" w:hAnsi="黑体" w:eastAsia="黑体"/>
          <w:b/>
          <w:bCs/>
          <w:sz w:val="72"/>
          <w:szCs w:val="72"/>
        </w:rPr>
      </w:pPr>
      <w:r>
        <w:rPr>
          <w:rFonts w:ascii="黑体" w:hAnsi="黑体" w:eastAsia="黑体"/>
          <w:b/>
          <w:bCs/>
          <w:sz w:val="72"/>
          <w:szCs w:val="72"/>
        </w:rPr>
        <w:t>社会责任报告</w:t>
      </w:r>
    </w:p>
    <w:p>
      <w:pPr>
        <w:jc w:val="center"/>
        <w:rPr>
          <w:rFonts w:ascii="黑体" w:hAnsi="黑体" w:eastAsia="黑体"/>
          <w:b/>
          <w:sz w:val="52"/>
          <w:szCs w:val="52"/>
        </w:rPr>
      </w:pPr>
      <w:r>
        <w:rPr>
          <w:rFonts w:hint="eastAsia" w:ascii="黑体" w:hAnsi="黑体" w:eastAsia="黑体"/>
          <w:b/>
          <w:sz w:val="52"/>
          <w:szCs w:val="52"/>
        </w:rPr>
        <w:t>（20</w:t>
      </w:r>
      <w:r>
        <w:rPr>
          <w:rFonts w:ascii="黑体" w:hAnsi="黑体" w:eastAsia="黑体"/>
          <w:b/>
          <w:sz w:val="52"/>
          <w:szCs w:val="52"/>
        </w:rPr>
        <w:t>2</w:t>
      </w:r>
      <w:r>
        <w:rPr>
          <w:rFonts w:hint="eastAsia" w:ascii="黑体" w:hAnsi="黑体" w:eastAsia="黑体"/>
          <w:b/>
          <w:sz w:val="52"/>
          <w:szCs w:val="52"/>
        </w:rPr>
        <w:t>3年度）</w:t>
      </w:r>
    </w:p>
    <w:p>
      <w:pPr>
        <w:jc w:val="center"/>
        <w:rPr>
          <w:sz w:val="32"/>
          <w:szCs w:val="28"/>
        </w:rPr>
      </w:pPr>
    </w:p>
    <w:p>
      <w:pPr>
        <w:jc w:val="center"/>
        <w:rPr>
          <w:sz w:val="32"/>
          <w:szCs w:val="28"/>
        </w:rPr>
      </w:pPr>
    </w:p>
    <w:p>
      <w:pPr>
        <w:jc w:val="center"/>
        <w:rPr>
          <w:sz w:val="32"/>
          <w:szCs w:val="28"/>
        </w:rPr>
      </w:pPr>
    </w:p>
    <w:p>
      <w:pPr>
        <w:jc w:val="center"/>
        <w:rPr>
          <w:sz w:val="32"/>
          <w:szCs w:val="28"/>
        </w:rPr>
      </w:pPr>
    </w:p>
    <w:p>
      <w:pPr>
        <w:jc w:val="center"/>
        <w:rPr>
          <w:sz w:val="32"/>
          <w:szCs w:val="28"/>
        </w:rPr>
      </w:pPr>
    </w:p>
    <w:p>
      <w:pPr>
        <w:jc w:val="center"/>
        <w:rPr>
          <w:sz w:val="32"/>
          <w:szCs w:val="28"/>
        </w:rPr>
      </w:pPr>
    </w:p>
    <w:p>
      <w:pPr>
        <w:jc w:val="center"/>
        <w:rPr>
          <w:sz w:val="32"/>
          <w:szCs w:val="28"/>
        </w:rPr>
      </w:pPr>
    </w:p>
    <w:p>
      <w:pPr>
        <w:jc w:val="center"/>
        <w:rPr>
          <w:sz w:val="32"/>
          <w:szCs w:val="28"/>
        </w:rPr>
      </w:pPr>
    </w:p>
    <w:p>
      <w:pPr>
        <w:jc w:val="center"/>
        <w:rPr>
          <w:sz w:val="32"/>
          <w:szCs w:val="28"/>
        </w:rPr>
      </w:pPr>
    </w:p>
    <w:p>
      <w:pPr>
        <w:jc w:val="center"/>
        <w:rPr>
          <w:sz w:val="32"/>
          <w:szCs w:val="28"/>
        </w:rPr>
      </w:pPr>
    </w:p>
    <w:p>
      <w:pPr>
        <w:jc w:val="center"/>
        <w:rPr>
          <w:b/>
          <w:sz w:val="32"/>
          <w:szCs w:val="28"/>
        </w:rPr>
      </w:pPr>
      <w:r>
        <w:rPr>
          <w:rFonts w:hint="eastAsia"/>
          <w:b/>
          <w:sz w:val="32"/>
          <w:szCs w:val="28"/>
        </w:rPr>
        <w:t>20</w:t>
      </w:r>
      <w:r>
        <w:rPr>
          <w:b/>
          <w:sz w:val="32"/>
          <w:szCs w:val="28"/>
        </w:rPr>
        <w:t>2</w:t>
      </w:r>
      <w:r>
        <w:rPr>
          <w:rFonts w:hint="eastAsia"/>
          <w:b/>
          <w:sz w:val="32"/>
          <w:szCs w:val="28"/>
        </w:rPr>
        <w:t>4年1月10日</w:t>
      </w:r>
    </w:p>
    <w:p>
      <w:pPr>
        <w:jc w:val="center"/>
        <w:rPr>
          <w:sz w:val="32"/>
          <w:szCs w:val="28"/>
        </w:rPr>
      </w:pPr>
    </w:p>
    <w:p>
      <w:pPr>
        <w:jc w:val="center"/>
        <w:rPr>
          <w:sz w:val="32"/>
          <w:szCs w:val="28"/>
        </w:rPr>
      </w:pPr>
    </w:p>
    <w:p>
      <w:pPr>
        <w:pStyle w:val="4"/>
      </w:pPr>
      <w:bookmarkStart w:id="0" w:name="_Toc522175426"/>
      <w:r>
        <w:rPr>
          <w:rFonts w:hint="eastAsia"/>
        </w:rPr>
        <w:t>报告概述</w:t>
      </w:r>
      <w:bookmarkEnd w:id="0"/>
    </w:p>
    <w:p>
      <w:pPr>
        <w:ind w:firstLine="480" w:firstLineChars="200"/>
        <w:rPr>
          <w:rFonts w:ascii="宋体" w:hAnsi="宋体"/>
          <w:sz w:val="24"/>
          <w:szCs w:val="22"/>
        </w:rPr>
      </w:pPr>
      <w:r>
        <w:rPr>
          <w:rFonts w:hint="eastAsia" w:ascii="宋体" w:hAnsi="宋体"/>
          <w:sz w:val="24"/>
          <w:szCs w:val="22"/>
        </w:rPr>
        <w:t>此报告为江苏诚意住宅工业科技发展有限公司第一份对外公开发布的《社会责任报告》。 本报告参照GRI（</w:t>
      </w:r>
      <w:r>
        <w:rPr>
          <w:rFonts w:ascii="宋体" w:hAnsi="宋体"/>
          <w:sz w:val="24"/>
          <w:szCs w:val="22"/>
        </w:rPr>
        <w:t>全球报告倡议组织</w:t>
      </w:r>
      <w:r>
        <w:rPr>
          <w:rFonts w:hint="eastAsia" w:ascii="宋体" w:hAnsi="宋体"/>
          <w:sz w:val="24"/>
          <w:szCs w:val="22"/>
        </w:rPr>
        <w:t xml:space="preserve">）《可持续发展报告指南》（G3版）、中国社科院《中国企业社会责任报告编写指南》，并结合江苏诚意住宅工业科技发展有限公司对社会责任的独特理解和具体实践编写而成。 </w:t>
      </w:r>
    </w:p>
    <w:p>
      <w:pPr>
        <w:pStyle w:val="4"/>
      </w:pPr>
      <w:bookmarkStart w:id="1" w:name="_Toc522175427"/>
      <w:r>
        <w:rPr>
          <w:rFonts w:hint="eastAsia"/>
        </w:rPr>
        <w:t>报告范围</w:t>
      </w:r>
      <w:bookmarkEnd w:id="1"/>
    </w:p>
    <w:p>
      <w:pPr>
        <w:autoSpaceDN w:val="0"/>
        <w:spacing w:before="150" w:after="150" w:line="378" w:lineRule="atLeast"/>
        <w:ind w:firstLine="420"/>
        <w:rPr>
          <w:rFonts w:ascii="宋体" w:hAnsi="宋体"/>
          <w:sz w:val="24"/>
          <w:szCs w:val="22"/>
        </w:rPr>
      </w:pPr>
      <w:r>
        <w:rPr>
          <w:rFonts w:hint="eastAsia" w:ascii="宋体" w:hAnsi="宋体"/>
          <w:sz w:val="24"/>
          <w:szCs w:val="22"/>
        </w:rPr>
        <w:t xml:space="preserve">除非有特殊说明，本报告主要描述2023年1月1日至2023年12月31日期间，江苏诚意住宅工业科技发展有限有限公司在公司运营、内控管理、发展规划、供应链、人才建设等方面的工作，报告内容涵盖了公司砼结构件预制在营业务。 </w:t>
      </w:r>
    </w:p>
    <w:p>
      <w:pPr>
        <w:autoSpaceDN w:val="0"/>
        <w:spacing w:before="150" w:after="150" w:line="378" w:lineRule="atLeast"/>
        <w:rPr>
          <w:rFonts w:ascii="宋体" w:hAnsi="宋体"/>
          <w:sz w:val="24"/>
          <w:szCs w:val="21"/>
        </w:rPr>
      </w:pPr>
    </w:p>
    <w:p>
      <w:pPr>
        <w:autoSpaceDN w:val="0"/>
        <w:spacing w:before="150" w:after="150" w:line="378" w:lineRule="atLeast"/>
        <w:rPr>
          <w:rFonts w:ascii="宋体" w:hAnsi="宋体"/>
          <w:sz w:val="24"/>
          <w:szCs w:val="21"/>
        </w:rPr>
      </w:pPr>
      <w:r>
        <w:rPr>
          <w:rFonts w:hint="eastAsia" w:ascii="宋体" w:hAnsi="宋体"/>
          <w:sz w:val="24"/>
          <w:szCs w:val="21"/>
        </w:rPr>
        <w:t xml:space="preserve">江苏诚意住宅工业科技发展有限公司 </w:t>
      </w:r>
    </w:p>
    <w:p>
      <w:pPr>
        <w:autoSpaceDN w:val="0"/>
        <w:spacing w:before="150" w:after="150" w:line="378" w:lineRule="atLeast"/>
        <w:rPr>
          <w:rFonts w:ascii="宋体" w:hAnsi="宋体"/>
          <w:sz w:val="24"/>
          <w:szCs w:val="21"/>
        </w:rPr>
      </w:pPr>
      <w:r>
        <w:rPr>
          <w:rFonts w:hint="eastAsia" w:ascii="宋体" w:hAnsi="宋体"/>
          <w:sz w:val="24"/>
          <w:szCs w:val="21"/>
        </w:rPr>
        <w:t>地址：江苏省徐州市经济技术开发区大黄山街道大黄山村西</w:t>
      </w:r>
    </w:p>
    <w:p>
      <w:pPr>
        <w:autoSpaceDN w:val="0"/>
        <w:spacing w:before="150" w:after="150" w:line="378" w:lineRule="atLeast"/>
        <w:rPr>
          <w:rFonts w:ascii="宋体" w:hAnsi="宋体"/>
          <w:sz w:val="24"/>
          <w:szCs w:val="21"/>
        </w:rPr>
      </w:pPr>
      <w:r>
        <w:rPr>
          <w:rFonts w:hint="eastAsia" w:ascii="宋体" w:hAnsi="宋体"/>
          <w:sz w:val="24"/>
          <w:szCs w:val="21"/>
        </w:rPr>
        <w:t>邮政编码：221100</w:t>
      </w:r>
    </w:p>
    <w:p>
      <w:pPr>
        <w:autoSpaceDN w:val="0"/>
        <w:spacing w:before="150" w:after="150" w:line="378" w:lineRule="atLeast"/>
        <w:rPr>
          <w:rFonts w:ascii="宋体" w:hAnsi="宋体"/>
          <w:sz w:val="24"/>
          <w:szCs w:val="21"/>
        </w:rPr>
      </w:pPr>
      <w:r>
        <w:rPr>
          <w:rFonts w:hint="eastAsia" w:ascii="宋体" w:hAnsi="宋体"/>
          <w:sz w:val="24"/>
          <w:szCs w:val="21"/>
        </w:rPr>
        <w:t>电话：0516-67017877</w:t>
      </w:r>
    </w:p>
    <w:p>
      <w:pPr>
        <w:autoSpaceDN w:val="0"/>
        <w:spacing w:before="150" w:after="150" w:line="378" w:lineRule="atLeast"/>
        <w:rPr>
          <w:rFonts w:ascii="宋体" w:hAnsi="宋体"/>
          <w:sz w:val="24"/>
          <w:szCs w:val="21"/>
        </w:rPr>
      </w:pPr>
      <w:r>
        <w:rPr>
          <w:rFonts w:hint="eastAsia" w:ascii="宋体" w:hAnsi="宋体"/>
          <w:sz w:val="24"/>
          <w:szCs w:val="21"/>
        </w:rPr>
        <w:t>传真：0516-67017877</w:t>
      </w:r>
    </w:p>
    <w:p>
      <w:pPr>
        <w:autoSpaceDN w:val="0"/>
        <w:spacing w:before="150" w:after="150" w:line="378" w:lineRule="atLeast"/>
        <w:rPr>
          <w:rFonts w:ascii="宋体" w:hAnsi="宋体"/>
          <w:sz w:val="24"/>
          <w:szCs w:val="21"/>
        </w:rPr>
      </w:pPr>
    </w:p>
    <w:p>
      <w:pPr>
        <w:autoSpaceDN w:val="0"/>
        <w:spacing w:before="150" w:after="150" w:line="378" w:lineRule="atLeast"/>
        <w:rPr>
          <w:rFonts w:ascii="宋体" w:hAnsi="宋体"/>
          <w:sz w:val="24"/>
          <w:szCs w:val="21"/>
        </w:rPr>
      </w:pPr>
    </w:p>
    <w:p>
      <w:pPr>
        <w:autoSpaceDN w:val="0"/>
        <w:spacing w:before="150" w:after="150" w:line="378" w:lineRule="atLeast"/>
        <w:rPr>
          <w:rFonts w:ascii="宋体" w:hAnsi="宋体"/>
          <w:sz w:val="24"/>
          <w:szCs w:val="21"/>
        </w:rPr>
      </w:pPr>
    </w:p>
    <w:p>
      <w:pPr>
        <w:autoSpaceDN w:val="0"/>
        <w:spacing w:before="150" w:after="150" w:line="378" w:lineRule="atLeast"/>
        <w:rPr>
          <w:rFonts w:ascii="宋体" w:hAnsi="宋体"/>
          <w:sz w:val="24"/>
          <w:szCs w:val="21"/>
        </w:rPr>
      </w:pPr>
    </w:p>
    <w:p>
      <w:pPr>
        <w:autoSpaceDN w:val="0"/>
        <w:spacing w:before="150" w:after="150" w:line="378" w:lineRule="atLeast"/>
        <w:rPr>
          <w:rFonts w:ascii="宋体" w:hAnsi="宋体"/>
          <w:sz w:val="24"/>
          <w:szCs w:val="21"/>
        </w:rPr>
      </w:pPr>
    </w:p>
    <w:p>
      <w:pPr>
        <w:autoSpaceDN w:val="0"/>
        <w:spacing w:before="150" w:after="150" w:line="378" w:lineRule="atLeast"/>
        <w:rPr>
          <w:rFonts w:ascii="宋体" w:hAnsi="宋体"/>
          <w:sz w:val="24"/>
          <w:szCs w:val="21"/>
        </w:rPr>
      </w:pPr>
    </w:p>
    <w:p>
      <w:pPr>
        <w:autoSpaceDN w:val="0"/>
        <w:spacing w:before="150" w:after="150" w:line="378" w:lineRule="atLeast"/>
        <w:rPr>
          <w:rFonts w:ascii="宋体" w:hAnsi="宋体"/>
          <w:sz w:val="24"/>
          <w:szCs w:val="21"/>
        </w:rPr>
      </w:pPr>
    </w:p>
    <w:p>
      <w:pPr>
        <w:pStyle w:val="4"/>
      </w:pPr>
      <w:bookmarkStart w:id="2" w:name="_Toc522175428"/>
    </w:p>
    <w:p/>
    <w:p>
      <w:pPr>
        <w:pStyle w:val="4"/>
        <w:jc w:val="center"/>
      </w:pPr>
      <w:r>
        <w:rPr>
          <w:rFonts w:hint="eastAsia"/>
        </w:rPr>
        <w:t>目   录</w:t>
      </w:r>
      <w:bookmarkEnd w:id="2"/>
    </w:p>
    <w:p/>
    <w:p>
      <w:pPr>
        <w:pStyle w:val="16"/>
        <w:tabs>
          <w:tab w:val="right" w:leader="dot" w:pos="8296"/>
        </w:tabs>
        <w:rPr>
          <w:rFonts w:asciiTheme="minorHAnsi" w:hAnsiTheme="minorHAnsi" w:eastAsiaTheme="minorEastAsia" w:cstheme="minorBidi"/>
          <w:b/>
          <w:szCs w:val="22"/>
        </w:rPr>
      </w:pPr>
      <w:r>
        <w:rPr>
          <w:rFonts w:hint="eastAsia"/>
        </w:rPr>
        <w:fldChar w:fldCharType="begin"/>
      </w:r>
      <w:r>
        <w:rPr>
          <w:rFonts w:hint="eastAsia"/>
        </w:rPr>
        <w:instrText xml:space="preserve">TOC \o "1-3" \h  \u </w:instrText>
      </w:r>
      <w:r>
        <w:rPr>
          <w:rFonts w:hint="eastAsia"/>
        </w:rPr>
        <w:fldChar w:fldCharType="separate"/>
      </w:r>
      <w:r>
        <w:fldChar w:fldCharType="begin"/>
      </w:r>
      <w:r>
        <w:instrText xml:space="preserve"> HYPERLINK \l "_Toc522175426" </w:instrText>
      </w:r>
      <w:r>
        <w:fldChar w:fldCharType="separate"/>
      </w:r>
      <w:r>
        <w:rPr>
          <w:rStyle w:val="20"/>
          <w:rFonts w:hint="eastAsia"/>
          <w:b/>
        </w:rPr>
        <w:t>报告概述</w:t>
      </w:r>
      <w:r>
        <w:rPr>
          <w:b/>
        </w:rPr>
        <w:tab/>
      </w:r>
      <w:r>
        <w:rPr>
          <w:b/>
        </w:rPr>
        <w:fldChar w:fldCharType="begin"/>
      </w:r>
      <w:r>
        <w:rPr>
          <w:b/>
        </w:rPr>
        <w:instrText xml:space="preserve"> PAGEREF _Toc522175426 \h </w:instrText>
      </w:r>
      <w:r>
        <w:rPr>
          <w:b/>
        </w:rPr>
        <w:fldChar w:fldCharType="separate"/>
      </w:r>
      <w:r>
        <w:rPr>
          <w:b/>
        </w:rPr>
        <w:t>2</w:t>
      </w:r>
      <w:r>
        <w:rPr>
          <w:b/>
        </w:rPr>
        <w:fldChar w:fldCharType="end"/>
      </w:r>
      <w:r>
        <w:rPr>
          <w:b/>
        </w:rPr>
        <w:fldChar w:fldCharType="end"/>
      </w:r>
    </w:p>
    <w:p>
      <w:pPr>
        <w:pStyle w:val="16"/>
        <w:tabs>
          <w:tab w:val="right" w:leader="dot" w:pos="8296"/>
        </w:tabs>
        <w:rPr>
          <w:rFonts w:asciiTheme="minorHAnsi" w:hAnsiTheme="minorHAnsi" w:eastAsiaTheme="minorEastAsia" w:cstheme="minorBidi"/>
          <w:b/>
          <w:szCs w:val="22"/>
        </w:rPr>
      </w:pPr>
      <w:r>
        <w:fldChar w:fldCharType="begin"/>
      </w:r>
      <w:r>
        <w:instrText xml:space="preserve"> HYPERLINK \l "_Toc522175427" </w:instrText>
      </w:r>
      <w:r>
        <w:fldChar w:fldCharType="separate"/>
      </w:r>
      <w:r>
        <w:rPr>
          <w:rStyle w:val="20"/>
          <w:rFonts w:hint="eastAsia"/>
          <w:b/>
        </w:rPr>
        <w:t>报告范围</w:t>
      </w:r>
      <w:r>
        <w:rPr>
          <w:b/>
        </w:rPr>
        <w:tab/>
      </w:r>
      <w:r>
        <w:rPr>
          <w:b/>
        </w:rPr>
        <w:fldChar w:fldCharType="begin"/>
      </w:r>
      <w:r>
        <w:rPr>
          <w:b/>
        </w:rPr>
        <w:instrText xml:space="preserve"> PAGEREF _Toc522175427 \h </w:instrText>
      </w:r>
      <w:r>
        <w:rPr>
          <w:b/>
        </w:rPr>
        <w:fldChar w:fldCharType="separate"/>
      </w:r>
      <w:r>
        <w:rPr>
          <w:b/>
        </w:rPr>
        <w:t>2</w:t>
      </w:r>
      <w:r>
        <w:rPr>
          <w:b/>
        </w:rPr>
        <w:fldChar w:fldCharType="end"/>
      </w:r>
      <w:r>
        <w:rPr>
          <w:b/>
        </w:rPr>
        <w:fldChar w:fldCharType="end"/>
      </w:r>
    </w:p>
    <w:p>
      <w:pPr>
        <w:pStyle w:val="16"/>
        <w:tabs>
          <w:tab w:val="right" w:leader="dot" w:pos="8296"/>
        </w:tabs>
        <w:rPr>
          <w:rFonts w:asciiTheme="minorHAnsi" w:hAnsiTheme="minorHAnsi" w:eastAsiaTheme="minorEastAsia" w:cstheme="minorBidi"/>
          <w:b/>
          <w:szCs w:val="22"/>
        </w:rPr>
      </w:pPr>
      <w:r>
        <w:fldChar w:fldCharType="begin"/>
      </w:r>
      <w:r>
        <w:instrText xml:space="preserve"> HYPERLINK \l "_Toc522175428" </w:instrText>
      </w:r>
      <w:r>
        <w:fldChar w:fldCharType="separate"/>
      </w:r>
      <w:r>
        <w:rPr>
          <w:rStyle w:val="20"/>
          <w:rFonts w:hint="eastAsia"/>
          <w:b/>
        </w:rPr>
        <w:t>目录</w:t>
      </w:r>
      <w:r>
        <w:rPr>
          <w:b/>
        </w:rPr>
        <w:tab/>
      </w:r>
      <w:r>
        <w:rPr>
          <w:b/>
        </w:rPr>
        <w:fldChar w:fldCharType="begin"/>
      </w:r>
      <w:r>
        <w:rPr>
          <w:b/>
        </w:rPr>
        <w:instrText xml:space="preserve"> PAGEREF _Toc522175428 \h </w:instrText>
      </w:r>
      <w:r>
        <w:rPr>
          <w:b/>
        </w:rPr>
        <w:fldChar w:fldCharType="separate"/>
      </w:r>
      <w:r>
        <w:rPr>
          <w:b/>
        </w:rPr>
        <w:t>3</w:t>
      </w:r>
      <w:r>
        <w:rPr>
          <w:b/>
        </w:rPr>
        <w:fldChar w:fldCharType="end"/>
      </w:r>
      <w:r>
        <w:rPr>
          <w:b/>
        </w:rPr>
        <w:fldChar w:fldCharType="end"/>
      </w:r>
    </w:p>
    <w:p>
      <w:pPr>
        <w:pStyle w:val="16"/>
        <w:tabs>
          <w:tab w:val="right" w:leader="dot" w:pos="8296"/>
        </w:tabs>
        <w:rPr>
          <w:rFonts w:asciiTheme="minorHAnsi" w:hAnsiTheme="minorHAnsi" w:eastAsiaTheme="minorEastAsia" w:cstheme="minorBidi"/>
          <w:b/>
          <w:szCs w:val="22"/>
        </w:rPr>
      </w:pPr>
      <w:r>
        <w:fldChar w:fldCharType="begin"/>
      </w:r>
      <w:r>
        <w:instrText xml:space="preserve"> HYPERLINK \l "_Toc522175429" </w:instrText>
      </w:r>
      <w:r>
        <w:fldChar w:fldCharType="separate"/>
      </w:r>
      <w:r>
        <w:rPr>
          <w:rStyle w:val="20"/>
          <w:rFonts w:hint="eastAsia"/>
          <w:b/>
        </w:rPr>
        <w:t>一、公司简介：</w:t>
      </w:r>
      <w:r>
        <w:rPr>
          <w:b/>
        </w:rPr>
        <w:tab/>
      </w:r>
      <w:r>
        <w:rPr>
          <w:b/>
        </w:rPr>
        <w:fldChar w:fldCharType="begin"/>
      </w:r>
      <w:r>
        <w:rPr>
          <w:b/>
        </w:rPr>
        <w:instrText xml:space="preserve"> PAGEREF _Toc522175429 \h </w:instrText>
      </w:r>
      <w:r>
        <w:rPr>
          <w:b/>
        </w:rPr>
        <w:fldChar w:fldCharType="separate"/>
      </w:r>
      <w:r>
        <w:rPr>
          <w:b/>
        </w:rPr>
        <w:t>4</w:t>
      </w:r>
      <w:r>
        <w:rPr>
          <w:b/>
        </w:rPr>
        <w:fldChar w:fldCharType="end"/>
      </w:r>
      <w:r>
        <w:rPr>
          <w:b/>
        </w:rPr>
        <w:fldChar w:fldCharType="end"/>
      </w:r>
    </w:p>
    <w:p>
      <w:pPr>
        <w:pStyle w:val="16"/>
        <w:tabs>
          <w:tab w:val="right" w:leader="dot" w:pos="8296"/>
        </w:tabs>
        <w:rPr>
          <w:rFonts w:asciiTheme="minorHAnsi" w:hAnsiTheme="minorHAnsi" w:eastAsiaTheme="minorEastAsia" w:cstheme="minorBidi"/>
          <w:b/>
          <w:szCs w:val="22"/>
        </w:rPr>
      </w:pPr>
      <w:r>
        <w:fldChar w:fldCharType="begin"/>
      </w:r>
      <w:r>
        <w:instrText xml:space="preserve"> HYPERLINK \l "_Toc522175430" </w:instrText>
      </w:r>
      <w:r>
        <w:fldChar w:fldCharType="separate"/>
      </w:r>
      <w:r>
        <w:rPr>
          <w:rStyle w:val="20"/>
          <w:rFonts w:hint="eastAsia"/>
          <w:b/>
        </w:rPr>
        <w:t>二、经营状况：</w:t>
      </w:r>
      <w:r>
        <w:rPr>
          <w:b/>
        </w:rPr>
        <w:tab/>
      </w:r>
      <w:r>
        <w:rPr>
          <w:b/>
        </w:rPr>
        <w:fldChar w:fldCharType="begin"/>
      </w:r>
      <w:r>
        <w:rPr>
          <w:b/>
        </w:rPr>
        <w:instrText xml:space="preserve"> PAGEREF _Toc522175430 \h </w:instrText>
      </w:r>
      <w:r>
        <w:rPr>
          <w:b/>
        </w:rPr>
        <w:fldChar w:fldCharType="separate"/>
      </w:r>
      <w:r>
        <w:rPr>
          <w:b/>
        </w:rPr>
        <w:t>5</w:t>
      </w:r>
      <w:r>
        <w:rPr>
          <w:b/>
        </w:rPr>
        <w:fldChar w:fldCharType="end"/>
      </w:r>
      <w:r>
        <w:rPr>
          <w:b/>
        </w:rPr>
        <w:fldChar w:fldCharType="end"/>
      </w:r>
    </w:p>
    <w:p>
      <w:pPr>
        <w:pStyle w:val="16"/>
        <w:tabs>
          <w:tab w:val="right" w:leader="dot" w:pos="8296"/>
        </w:tabs>
        <w:rPr>
          <w:rFonts w:asciiTheme="minorHAnsi" w:hAnsiTheme="minorHAnsi" w:eastAsiaTheme="minorEastAsia" w:cstheme="minorBidi"/>
          <w:b/>
          <w:szCs w:val="22"/>
        </w:rPr>
      </w:pPr>
      <w:r>
        <w:fldChar w:fldCharType="begin"/>
      </w:r>
      <w:r>
        <w:instrText xml:space="preserve"> HYPERLINK \l "_Toc522175431" </w:instrText>
      </w:r>
      <w:r>
        <w:fldChar w:fldCharType="separate"/>
      </w:r>
      <w:r>
        <w:rPr>
          <w:rStyle w:val="20"/>
          <w:rFonts w:hint="eastAsia"/>
          <w:b/>
        </w:rPr>
        <w:t>三、组织架构图</w:t>
      </w:r>
      <w:r>
        <w:rPr>
          <w:rStyle w:val="20"/>
          <w:b/>
        </w:rPr>
        <w:t>:</w:t>
      </w:r>
      <w:r>
        <w:rPr>
          <w:b/>
        </w:rPr>
        <w:tab/>
      </w:r>
      <w:r>
        <w:rPr>
          <w:b/>
        </w:rPr>
        <w:fldChar w:fldCharType="begin"/>
      </w:r>
      <w:r>
        <w:rPr>
          <w:b/>
        </w:rPr>
        <w:instrText xml:space="preserve"> PAGEREF _Toc522175431 \h </w:instrText>
      </w:r>
      <w:r>
        <w:rPr>
          <w:b/>
        </w:rPr>
        <w:fldChar w:fldCharType="separate"/>
      </w:r>
      <w:r>
        <w:rPr>
          <w:b/>
        </w:rPr>
        <w:t>5</w:t>
      </w:r>
      <w:r>
        <w:rPr>
          <w:b/>
        </w:rPr>
        <w:fldChar w:fldCharType="end"/>
      </w:r>
      <w:r>
        <w:rPr>
          <w:b/>
        </w:rPr>
        <w:fldChar w:fldCharType="end"/>
      </w:r>
    </w:p>
    <w:p>
      <w:pPr>
        <w:pStyle w:val="16"/>
        <w:tabs>
          <w:tab w:val="right" w:leader="dot" w:pos="8296"/>
        </w:tabs>
        <w:rPr>
          <w:rFonts w:asciiTheme="minorHAnsi" w:hAnsiTheme="minorHAnsi" w:eastAsiaTheme="minorEastAsia" w:cstheme="minorBidi"/>
          <w:b/>
          <w:szCs w:val="22"/>
        </w:rPr>
      </w:pPr>
      <w:r>
        <w:fldChar w:fldCharType="begin"/>
      </w:r>
      <w:r>
        <w:instrText xml:space="preserve"> HYPERLINK \l "_Toc522175432" </w:instrText>
      </w:r>
      <w:r>
        <w:fldChar w:fldCharType="separate"/>
      </w:r>
      <w:r>
        <w:rPr>
          <w:rStyle w:val="20"/>
          <w:rFonts w:hint="eastAsia"/>
          <w:b/>
        </w:rPr>
        <w:t>四、技术创新</w:t>
      </w:r>
      <w:r>
        <w:rPr>
          <w:b/>
        </w:rPr>
        <w:tab/>
      </w:r>
      <w:r>
        <w:rPr>
          <w:b/>
        </w:rPr>
        <w:fldChar w:fldCharType="begin"/>
      </w:r>
      <w:r>
        <w:rPr>
          <w:b/>
        </w:rPr>
        <w:instrText xml:space="preserve"> PAGEREF _Toc522175432 \h </w:instrText>
      </w:r>
      <w:r>
        <w:rPr>
          <w:b/>
        </w:rPr>
        <w:fldChar w:fldCharType="separate"/>
      </w:r>
      <w:r>
        <w:rPr>
          <w:b/>
        </w:rPr>
        <w:t>5</w:t>
      </w:r>
      <w:r>
        <w:rPr>
          <w:b/>
        </w:rPr>
        <w:fldChar w:fldCharType="end"/>
      </w:r>
      <w:r>
        <w:rPr>
          <w:b/>
        </w:rPr>
        <w:fldChar w:fldCharType="end"/>
      </w:r>
    </w:p>
    <w:p>
      <w:pPr>
        <w:pStyle w:val="16"/>
        <w:tabs>
          <w:tab w:val="right" w:leader="dot" w:pos="8296"/>
        </w:tabs>
        <w:ind w:firstLine="420" w:firstLineChars="200"/>
        <w:rPr>
          <w:rFonts w:asciiTheme="minorHAnsi" w:hAnsiTheme="minorHAnsi" w:eastAsiaTheme="minorEastAsia" w:cstheme="minorBidi"/>
          <w:b/>
          <w:szCs w:val="22"/>
        </w:rPr>
      </w:pPr>
      <w:r>
        <w:fldChar w:fldCharType="begin"/>
      </w:r>
      <w:r>
        <w:instrText xml:space="preserve"> HYPERLINK \l "_Toc522175433" </w:instrText>
      </w:r>
      <w:r>
        <w:fldChar w:fldCharType="separate"/>
      </w:r>
      <w:r>
        <w:rPr>
          <w:rStyle w:val="20"/>
          <w:b/>
        </w:rPr>
        <w:t>1</w:t>
      </w:r>
      <w:r>
        <w:rPr>
          <w:rStyle w:val="20"/>
          <w:rFonts w:hint="eastAsia"/>
          <w:b/>
        </w:rPr>
        <w:t>、技术管理工作：</w:t>
      </w:r>
      <w:r>
        <w:rPr>
          <w:b/>
        </w:rPr>
        <w:tab/>
      </w:r>
      <w:r>
        <w:rPr>
          <w:b/>
        </w:rPr>
        <w:fldChar w:fldCharType="begin"/>
      </w:r>
      <w:r>
        <w:rPr>
          <w:b/>
        </w:rPr>
        <w:instrText xml:space="preserve"> PAGEREF _Toc522175433 \h </w:instrText>
      </w:r>
      <w:r>
        <w:rPr>
          <w:b/>
        </w:rPr>
        <w:fldChar w:fldCharType="separate"/>
      </w:r>
      <w:r>
        <w:rPr>
          <w:b/>
        </w:rPr>
        <w:t>5</w:t>
      </w:r>
      <w:r>
        <w:rPr>
          <w:b/>
        </w:rPr>
        <w:fldChar w:fldCharType="end"/>
      </w:r>
      <w:r>
        <w:rPr>
          <w:b/>
        </w:rPr>
        <w:fldChar w:fldCharType="end"/>
      </w:r>
    </w:p>
    <w:p>
      <w:pPr>
        <w:pStyle w:val="16"/>
        <w:tabs>
          <w:tab w:val="left" w:pos="1260"/>
          <w:tab w:val="right" w:leader="dot" w:pos="8296"/>
        </w:tabs>
        <w:ind w:firstLine="420" w:firstLineChars="200"/>
        <w:rPr>
          <w:rFonts w:asciiTheme="minorHAnsi" w:hAnsiTheme="minorHAnsi" w:eastAsiaTheme="minorEastAsia" w:cstheme="minorBidi"/>
          <w:b/>
          <w:szCs w:val="22"/>
        </w:rPr>
      </w:pPr>
      <w:r>
        <w:fldChar w:fldCharType="begin"/>
      </w:r>
      <w:r>
        <w:instrText xml:space="preserve"> HYPERLINK \l "_Toc522175434" </w:instrText>
      </w:r>
      <w:r>
        <w:fldChar w:fldCharType="separate"/>
      </w:r>
      <w:r>
        <w:rPr>
          <w:rStyle w:val="20"/>
          <w:rFonts w:hint="eastAsia"/>
          <w:b/>
        </w:rPr>
        <w:t>2、研发团队建立</w:t>
      </w:r>
      <w:r>
        <w:rPr>
          <w:b/>
        </w:rPr>
        <w:tab/>
      </w:r>
      <w:r>
        <w:rPr>
          <w:b/>
        </w:rPr>
        <w:fldChar w:fldCharType="begin"/>
      </w:r>
      <w:r>
        <w:rPr>
          <w:b/>
        </w:rPr>
        <w:instrText xml:space="preserve"> PAGEREF _Toc522175434 \h </w:instrText>
      </w:r>
      <w:r>
        <w:rPr>
          <w:b/>
        </w:rPr>
        <w:fldChar w:fldCharType="separate"/>
      </w:r>
      <w:r>
        <w:rPr>
          <w:b/>
        </w:rPr>
        <w:t>7</w:t>
      </w:r>
      <w:r>
        <w:rPr>
          <w:b/>
        </w:rPr>
        <w:fldChar w:fldCharType="end"/>
      </w:r>
      <w:r>
        <w:rPr>
          <w:b/>
        </w:rPr>
        <w:fldChar w:fldCharType="end"/>
      </w:r>
    </w:p>
    <w:p>
      <w:pPr>
        <w:pStyle w:val="8"/>
        <w:tabs>
          <w:tab w:val="left" w:pos="1680"/>
          <w:tab w:val="right" w:leader="dot" w:pos="8296"/>
        </w:tabs>
        <w:rPr>
          <w:rFonts w:asciiTheme="minorHAnsi" w:hAnsiTheme="minorHAnsi" w:eastAsiaTheme="minorEastAsia" w:cstheme="minorBidi"/>
          <w:b/>
          <w:szCs w:val="22"/>
        </w:rPr>
      </w:pPr>
      <w:r>
        <w:fldChar w:fldCharType="begin"/>
      </w:r>
      <w:r>
        <w:instrText xml:space="preserve"> HYPERLINK \l "_Toc522175435" </w:instrText>
      </w:r>
      <w:r>
        <w:fldChar w:fldCharType="separate"/>
      </w:r>
      <w:r>
        <w:rPr>
          <w:rStyle w:val="20"/>
          <w:rFonts w:hint="eastAsia"/>
          <w:b/>
        </w:rPr>
        <w:t>3、知识产权工作</w:t>
      </w:r>
      <w:r>
        <w:rPr>
          <w:b/>
        </w:rPr>
        <w:tab/>
      </w:r>
      <w:r>
        <w:rPr>
          <w:b/>
        </w:rPr>
        <w:fldChar w:fldCharType="begin"/>
      </w:r>
      <w:r>
        <w:rPr>
          <w:b/>
        </w:rPr>
        <w:instrText xml:space="preserve"> PAGEREF _Toc522175435 \h </w:instrText>
      </w:r>
      <w:r>
        <w:rPr>
          <w:b/>
        </w:rPr>
        <w:fldChar w:fldCharType="separate"/>
      </w:r>
      <w:r>
        <w:rPr>
          <w:b/>
        </w:rPr>
        <w:t>7</w:t>
      </w:r>
      <w:r>
        <w:rPr>
          <w:b/>
        </w:rPr>
        <w:fldChar w:fldCharType="end"/>
      </w:r>
      <w:r>
        <w:rPr>
          <w:b/>
        </w:rPr>
        <w:fldChar w:fldCharType="end"/>
      </w:r>
    </w:p>
    <w:p>
      <w:pPr>
        <w:pStyle w:val="16"/>
        <w:tabs>
          <w:tab w:val="right" w:leader="dot" w:pos="8296"/>
        </w:tabs>
        <w:rPr>
          <w:rFonts w:asciiTheme="minorHAnsi" w:hAnsiTheme="minorHAnsi" w:eastAsiaTheme="minorEastAsia" w:cstheme="minorBidi"/>
          <w:b/>
          <w:szCs w:val="22"/>
        </w:rPr>
      </w:pPr>
      <w:r>
        <w:fldChar w:fldCharType="begin"/>
      </w:r>
      <w:r>
        <w:instrText xml:space="preserve"> HYPERLINK \l "_Toc522175436" </w:instrText>
      </w:r>
      <w:r>
        <w:fldChar w:fldCharType="separate"/>
      </w:r>
      <w:r>
        <w:rPr>
          <w:rStyle w:val="20"/>
          <w:rFonts w:hint="eastAsia"/>
          <w:b/>
        </w:rPr>
        <w:t>五、信用建设</w:t>
      </w:r>
      <w:r>
        <w:rPr>
          <w:b/>
        </w:rPr>
        <w:tab/>
      </w:r>
      <w:r>
        <w:rPr>
          <w:b/>
        </w:rPr>
        <w:fldChar w:fldCharType="begin"/>
      </w:r>
      <w:r>
        <w:rPr>
          <w:b/>
        </w:rPr>
        <w:instrText xml:space="preserve"> PAGEREF _Toc522175436 \h </w:instrText>
      </w:r>
      <w:r>
        <w:rPr>
          <w:b/>
        </w:rPr>
        <w:fldChar w:fldCharType="separate"/>
      </w:r>
      <w:r>
        <w:rPr>
          <w:b/>
        </w:rPr>
        <w:t>7</w:t>
      </w:r>
      <w:r>
        <w:rPr>
          <w:b/>
        </w:rPr>
        <w:fldChar w:fldCharType="end"/>
      </w:r>
      <w:r>
        <w:rPr>
          <w:b/>
        </w:rPr>
        <w:fldChar w:fldCharType="end"/>
      </w:r>
    </w:p>
    <w:p>
      <w:pPr>
        <w:pStyle w:val="16"/>
        <w:tabs>
          <w:tab w:val="right" w:leader="dot" w:pos="8296"/>
        </w:tabs>
        <w:rPr>
          <w:rFonts w:asciiTheme="minorHAnsi" w:hAnsiTheme="minorHAnsi" w:eastAsiaTheme="minorEastAsia" w:cstheme="minorBidi"/>
          <w:b/>
          <w:szCs w:val="22"/>
        </w:rPr>
      </w:pPr>
      <w:r>
        <w:fldChar w:fldCharType="begin"/>
      </w:r>
      <w:r>
        <w:instrText xml:space="preserve"> HYPERLINK \l "_Toc522175437" </w:instrText>
      </w:r>
      <w:r>
        <w:fldChar w:fldCharType="separate"/>
      </w:r>
      <w:r>
        <w:rPr>
          <w:rStyle w:val="20"/>
          <w:rFonts w:hint="eastAsia"/>
          <w:b/>
        </w:rPr>
        <w:t>六、环保节约</w:t>
      </w:r>
      <w:r>
        <w:rPr>
          <w:b/>
        </w:rPr>
        <w:tab/>
      </w:r>
      <w:r>
        <w:rPr>
          <w:b/>
        </w:rPr>
        <w:fldChar w:fldCharType="begin"/>
      </w:r>
      <w:r>
        <w:rPr>
          <w:b/>
        </w:rPr>
        <w:instrText xml:space="preserve"> PAGEREF _Toc522175437 \h </w:instrText>
      </w:r>
      <w:r>
        <w:rPr>
          <w:b/>
        </w:rPr>
        <w:fldChar w:fldCharType="separate"/>
      </w:r>
      <w:r>
        <w:rPr>
          <w:b/>
        </w:rPr>
        <w:t>8</w:t>
      </w:r>
      <w:r>
        <w:rPr>
          <w:b/>
        </w:rPr>
        <w:fldChar w:fldCharType="end"/>
      </w:r>
      <w:r>
        <w:rPr>
          <w:b/>
        </w:rPr>
        <w:fldChar w:fldCharType="end"/>
      </w:r>
    </w:p>
    <w:p>
      <w:pPr>
        <w:pStyle w:val="8"/>
        <w:tabs>
          <w:tab w:val="right" w:leader="dot" w:pos="8296"/>
        </w:tabs>
        <w:rPr>
          <w:rFonts w:asciiTheme="minorHAnsi" w:hAnsiTheme="minorHAnsi" w:eastAsiaTheme="minorEastAsia" w:cstheme="minorBidi"/>
          <w:b/>
          <w:szCs w:val="22"/>
        </w:rPr>
      </w:pPr>
      <w:r>
        <w:fldChar w:fldCharType="begin"/>
      </w:r>
      <w:r>
        <w:instrText xml:space="preserve"> HYPERLINK \l "_Toc522175438" </w:instrText>
      </w:r>
      <w:r>
        <w:fldChar w:fldCharType="separate"/>
      </w:r>
      <w:r>
        <w:rPr>
          <w:rStyle w:val="20"/>
          <w:b/>
        </w:rPr>
        <w:t>1</w:t>
      </w:r>
      <w:r>
        <w:rPr>
          <w:rStyle w:val="20"/>
          <w:rFonts w:hint="eastAsia"/>
          <w:b/>
        </w:rPr>
        <w:t>、环境管理</w:t>
      </w:r>
      <w:r>
        <w:rPr>
          <w:b/>
        </w:rPr>
        <w:tab/>
      </w:r>
      <w:r>
        <w:rPr>
          <w:b/>
        </w:rPr>
        <w:fldChar w:fldCharType="begin"/>
      </w:r>
      <w:r>
        <w:rPr>
          <w:b/>
        </w:rPr>
        <w:instrText xml:space="preserve"> PAGEREF _Toc522175438 \h </w:instrText>
      </w:r>
      <w:r>
        <w:rPr>
          <w:b/>
        </w:rPr>
        <w:fldChar w:fldCharType="separate"/>
      </w:r>
      <w:r>
        <w:rPr>
          <w:b/>
        </w:rPr>
        <w:t>8</w:t>
      </w:r>
      <w:r>
        <w:rPr>
          <w:b/>
        </w:rPr>
        <w:fldChar w:fldCharType="end"/>
      </w:r>
      <w:r>
        <w:rPr>
          <w:b/>
        </w:rPr>
        <w:fldChar w:fldCharType="end"/>
      </w:r>
    </w:p>
    <w:p>
      <w:pPr>
        <w:pStyle w:val="8"/>
        <w:tabs>
          <w:tab w:val="right" w:leader="dot" w:pos="8296"/>
        </w:tabs>
        <w:rPr>
          <w:rFonts w:asciiTheme="minorHAnsi" w:hAnsiTheme="minorHAnsi" w:eastAsiaTheme="minorEastAsia" w:cstheme="minorBidi"/>
          <w:b/>
          <w:szCs w:val="22"/>
        </w:rPr>
      </w:pPr>
      <w:r>
        <w:fldChar w:fldCharType="begin"/>
      </w:r>
      <w:r>
        <w:instrText xml:space="preserve"> HYPERLINK \l "_Toc522175439" </w:instrText>
      </w:r>
      <w:r>
        <w:fldChar w:fldCharType="separate"/>
      </w:r>
      <w:r>
        <w:rPr>
          <w:rStyle w:val="20"/>
          <w:b/>
        </w:rPr>
        <w:t>2</w:t>
      </w:r>
      <w:r>
        <w:rPr>
          <w:rStyle w:val="20"/>
          <w:rFonts w:hint="eastAsia"/>
          <w:b/>
        </w:rPr>
        <w:t>、资源节约与综合利用</w:t>
      </w:r>
      <w:r>
        <w:rPr>
          <w:b/>
        </w:rPr>
        <w:tab/>
      </w:r>
      <w:r>
        <w:rPr>
          <w:b/>
        </w:rPr>
        <w:fldChar w:fldCharType="begin"/>
      </w:r>
      <w:r>
        <w:rPr>
          <w:b/>
        </w:rPr>
        <w:instrText xml:space="preserve"> PAGEREF _Toc522175439 \h </w:instrText>
      </w:r>
      <w:r>
        <w:rPr>
          <w:b/>
        </w:rPr>
        <w:fldChar w:fldCharType="separate"/>
      </w:r>
      <w:r>
        <w:rPr>
          <w:b/>
        </w:rPr>
        <w:t>8</w:t>
      </w:r>
      <w:r>
        <w:rPr>
          <w:b/>
        </w:rPr>
        <w:fldChar w:fldCharType="end"/>
      </w:r>
      <w:r>
        <w:rPr>
          <w:b/>
        </w:rPr>
        <w:fldChar w:fldCharType="end"/>
      </w:r>
    </w:p>
    <w:p>
      <w:pPr>
        <w:pStyle w:val="16"/>
        <w:tabs>
          <w:tab w:val="right" w:leader="dot" w:pos="8296"/>
        </w:tabs>
        <w:rPr>
          <w:rFonts w:asciiTheme="minorHAnsi" w:hAnsiTheme="minorHAnsi" w:eastAsiaTheme="minorEastAsia" w:cstheme="minorBidi"/>
          <w:b/>
          <w:szCs w:val="22"/>
        </w:rPr>
      </w:pPr>
      <w:r>
        <w:fldChar w:fldCharType="begin"/>
      </w:r>
      <w:r>
        <w:instrText xml:space="preserve"> HYPERLINK \l "_Toc522175440" </w:instrText>
      </w:r>
      <w:r>
        <w:fldChar w:fldCharType="separate"/>
      </w:r>
      <w:r>
        <w:rPr>
          <w:rStyle w:val="20"/>
          <w:rFonts w:hint="eastAsia"/>
          <w:b/>
        </w:rPr>
        <w:t>七、安全生产</w:t>
      </w:r>
      <w:r>
        <w:rPr>
          <w:b/>
        </w:rPr>
        <w:tab/>
      </w:r>
      <w:r>
        <w:rPr>
          <w:b/>
        </w:rPr>
        <w:fldChar w:fldCharType="begin"/>
      </w:r>
      <w:r>
        <w:rPr>
          <w:b/>
        </w:rPr>
        <w:instrText xml:space="preserve"> PAGEREF _Toc522175440 \h </w:instrText>
      </w:r>
      <w:r>
        <w:rPr>
          <w:b/>
        </w:rPr>
        <w:fldChar w:fldCharType="separate"/>
      </w:r>
      <w:r>
        <w:rPr>
          <w:b/>
        </w:rPr>
        <w:t>8</w:t>
      </w:r>
      <w:r>
        <w:rPr>
          <w:b/>
        </w:rPr>
        <w:fldChar w:fldCharType="end"/>
      </w:r>
      <w:r>
        <w:rPr>
          <w:b/>
        </w:rPr>
        <w:fldChar w:fldCharType="end"/>
      </w:r>
    </w:p>
    <w:p>
      <w:pPr>
        <w:pStyle w:val="8"/>
        <w:tabs>
          <w:tab w:val="right" w:leader="dot" w:pos="8296"/>
        </w:tabs>
        <w:rPr>
          <w:rFonts w:asciiTheme="minorHAnsi" w:hAnsiTheme="minorHAnsi" w:eastAsiaTheme="minorEastAsia" w:cstheme="minorBidi"/>
          <w:b/>
          <w:szCs w:val="22"/>
        </w:rPr>
      </w:pPr>
      <w:r>
        <w:fldChar w:fldCharType="begin"/>
      </w:r>
      <w:r>
        <w:instrText xml:space="preserve"> HYPERLINK \l "_Toc522175441" </w:instrText>
      </w:r>
      <w:r>
        <w:fldChar w:fldCharType="separate"/>
      </w:r>
      <w:r>
        <w:rPr>
          <w:rStyle w:val="20"/>
          <w:b/>
        </w:rPr>
        <w:t>1</w:t>
      </w:r>
      <w:r>
        <w:rPr>
          <w:rStyle w:val="20"/>
          <w:rFonts w:hint="eastAsia"/>
          <w:b/>
        </w:rPr>
        <w:t>、安全生产管理</w:t>
      </w:r>
      <w:r>
        <w:rPr>
          <w:b/>
        </w:rPr>
        <w:tab/>
      </w:r>
      <w:r>
        <w:rPr>
          <w:b/>
        </w:rPr>
        <w:fldChar w:fldCharType="begin"/>
      </w:r>
      <w:r>
        <w:rPr>
          <w:b/>
        </w:rPr>
        <w:instrText xml:space="preserve"> PAGEREF _Toc522175441 \h </w:instrText>
      </w:r>
      <w:r>
        <w:rPr>
          <w:b/>
        </w:rPr>
        <w:fldChar w:fldCharType="separate"/>
      </w:r>
      <w:r>
        <w:rPr>
          <w:b/>
        </w:rPr>
        <w:t>8</w:t>
      </w:r>
      <w:r>
        <w:rPr>
          <w:b/>
        </w:rPr>
        <w:fldChar w:fldCharType="end"/>
      </w:r>
      <w:r>
        <w:rPr>
          <w:b/>
        </w:rPr>
        <w:fldChar w:fldCharType="end"/>
      </w:r>
    </w:p>
    <w:p>
      <w:pPr>
        <w:pStyle w:val="8"/>
        <w:tabs>
          <w:tab w:val="right" w:leader="dot" w:pos="8296"/>
        </w:tabs>
        <w:rPr>
          <w:rFonts w:asciiTheme="minorHAnsi" w:hAnsiTheme="minorHAnsi" w:eastAsiaTheme="minorEastAsia" w:cstheme="minorBidi"/>
          <w:b/>
          <w:szCs w:val="22"/>
        </w:rPr>
      </w:pPr>
      <w:r>
        <w:fldChar w:fldCharType="begin"/>
      </w:r>
      <w:r>
        <w:instrText xml:space="preserve"> HYPERLINK \l "_Toc522175442" </w:instrText>
      </w:r>
      <w:r>
        <w:fldChar w:fldCharType="separate"/>
      </w:r>
      <w:r>
        <w:rPr>
          <w:rStyle w:val="20"/>
          <w:b/>
        </w:rPr>
        <w:t>2</w:t>
      </w:r>
      <w:r>
        <w:rPr>
          <w:rStyle w:val="20"/>
          <w:rFonts w:hint="eastAsia"/>
          <w:b/>
        </w:rPr>
        <w:t>、安全生产投入</w:t>
      </w:r>
      <w:r>
        <w:rPr>
          <w:b/>
        </w:rPr>
        <w:tab/>
      </w:r>
      <w:r>
        <w:rPr>
          <w:b/>
        </w:rPr>
        <w:fldChar w:fldCharType="begin"/>
      </w:r>
      <w:r>
        <w:rPr>
          <w:b/>
        </w:rPr>
        <w:instrText xml:space="preserve"> PAGEREF _Toc522175442 \h </w:instrText>
      </w:r>
      <w:r>
        <w:rPr>
          <w:b/>
        </w:rPr>
        <w:fldChar w:fldCharType="separate"/>
      </w:r>
      <w:r>
        <w:rPr>
          <w:b/>
        </w:rPr>
        <w:t>9</w:t>
      </w:r>
      <w:r>
        <w:rPr>
          <w:b/>
        </w:rPr>
        <w:fldChar w:fldCharType="end"/>
      </w:r>
      <w:r>
        <w:rPr>
          <w:b/>
        </w:rPr>
        <w:fldChar w:fldCharType="end"/>
      </w:r>
    </w:p>
    <w:p>
      <w:pPr>
        <w:pStyle w:val="8"/>
        <w:tabs>
          <w:tab w:val="right" w:leader="dot" w:pos="8296"/>
        </w:tabs>
        <w:rPr>
          <w:rFonts w:asciiTheme="minorHAnsi" w:hAnsiTheme="minorHAnsi" w:eastAsiaTheme="minorEastAsia" w:cstheme="minorBidi"/>
          <w:b/>
          <w:szCs w:val="22"/>
        </w:rPr>
      </w:pPr>
      <w:r>
        <w:fldChar w:fldCharType="begin"/>
      </w:r>
      <w:r>
        <w:instrText xml:space="preserve"> HYPERLINK \l "_Toc522175443" </w:instrText>
      </w:r>
      <w:r>
        <w:fldChar w:fldCharType="separate"/>
      </w:r>
      <w:r>
        <w:rPr>
          <w:rStyle w:val="20"/>
          <w:b/>
        </w:rPr>
        <w:t>3</w:t>
      </w:r>
      <w:r>
        <w:rPr>
          <w:rStyle w:val="20"/>
          <w:rFonts w:hint="eastAsia"/>
          <w:b/>
        </w:rPr>
        <w:t>、安全生产教育和培训</w:t>
      </w:r>
      <w:r>
        <w:rPr>
          <w:b/>
        </w:rPr>
        <w:tab/>
      </w:r>
      <w:r>
        <w:rPr>
          <w:b/>
        </w:rPr>
        <w:fldChar w:fldCharType="begin"/>
      </w:r>
      <w:r>
        <w:rPr>
          <w:b/>
        </w:rPr>
        <w:instrText xml:space="preserve"> PAGEREF _Toc522175443 \h </w:instrText>
      </w:r>
      <w:r>
        <w:rPr>
          <w:b/>
        </w:rPr>
        <w:fldChar w:fldCharType="separate"/>
      </w:r>
      <w:r>
        <w:rPr>
          <w:b/>
        </w:rPr>
        <w:t>9</w:t>
      </w:r>
      <w:r>
        <w:rPr>
          <w:b/>
        </w:rPr>
        <w:fldChar w:fldCharType="end"/>
      </w:r>
      <w:r>
        <w:rPr>
          <w:b/>
        </w:rPr>
        <w:fldChar w:fldCharType="end"/>
      </w:r>
    </w:p>
    <w:p>
      <w:pPr>
        <w:pStyle w:val="16"/>
        <w:tabs>
          <w:tab w:val="right" w:leader="dot" w:pos="8296"/>
        </w:tabs>
        <w:rPr>
          <w:rFonts w:asciiTheme="minorHAnsi" w:hAnsiTheme="minorHAnsi" w:eastAsiaTheme="minorEastAsia" w:cstheme="minorBidi"/>
          <w:b/>
          <w:szCs w:val="22"/>
        </w:rPr>
      </w:pPr>
      <w:r>
        <w:fldChar w:fldCharType="begin"/>
      </w:r>
      <w:r>
        <w:instrText xml:space="preserve"> HYPERLINK \l "_Toc522175444" </w:instrText>
      </w:r>
      <w:r>
        <w:fldChar w:fldCharType="separate"/>
      </w:r>
      <w:r>
        <w:rPr>
          <w:rStyle w:val="20"/>
          <w:rFonts w:hint="eastAsia"/>
          <w:b/>
        </w:rPr>
        <w:t>八、员工</w:t>
      </w:r>
      <w:r>
        <w:rPr>
          <w:b/>
        </w:rPr>
        <w:tab/>
      </w:r>
      <w:r>
        <w:rPr>
          <w:b/>
        </w:rPr>
        <w:fldChar w:fldCharType="begin"/>
      </w:r>
      <w:r>
        <w:rPr>
          <w:b/>
        </w:rPr>
        <w:instrText xml:space="preserve"> PAGEREF _Toc522175444 \h </w:instrText>
      </w:r>
      <w:r>
        <w:rPr>
          <w:b/>
        </w:rPr>
        <w:fldChar w:fldCharType="separate"/>
      </w:r>
      <w:r>
        <w:rPr>
          <w:b/>
        </w:rPr>
        <w:t>9</w:t>
      </w:r>
      <w:r>
        <w:rPr>
          <w:b/>
        </w:rPr>
        <w:fldChar w:fldCharType="end"/>
      </w:r>
      <w:r>
        <w:rPr>
          <w:b/>
        </w:rPr>
        <w:fldChar w:fldCharType="end"/>
      </w:r>
    </w:p>
    <w:p>
      <w:pPr>
        <w:pStyle w:val="8"/>
        <w:tabs>
          <w:tab w:val="right" w:leader="dot" w:pos="8296"/>
        </w:tabs>
        <w:rPr>
          <w:rFonts w:asciiTheme="minorHAnsi" w:hAnsiTheme="minorHAnsi" w:eastAsiaTheme="minorEastAsia" w:cstheme="minorBidi"/>
          <w:b/>
          <w:szCs w:val="22"/>
        </w:rPr>
      </w:pPr>
      <w:r>
        <w:fldChar w:fldCharType="begin"/>
      </w:r>
      <w:r>
        <w:instrText xml:space="preserve"> HYPERLINK \l "_Toc522175445" </w:instrText>
      </w:r>
      <w:r>
        <w:fldChar w:fldCharType="separate"/>
      </w:r>
      <w:r>
        <w:rPr>
          <w:rStyle w:val="20"/>
          <w:b/>
        </w:rPr>
        <w:t>1</w:t>
      </w:r>
      <w:r>
        <w:rPr>
          <w:rStyle w:val="20"/>
          <w:rFonts w:hint="eastAsia"/>
          <w:b/>
        </w:rPr>
        <w:t>、劳动合同与薪酬</w:t>
      </w:r>
      <w:r>
        <w:rPr>
          <w:b/>
        </w:rPr>
        <w:tab/>
      </w:r>
      <w:r>
        <w:rPr>
          <w:b/>
        </w:rPr>
        <w:fldChar w:fldCharType="begin"/>
      </w:r>
      <w:r>
        <w:rPr>
          <w:b/>
        </w:rPr>
        <w:instrText xml:space="preserve"> PAGEREF _Toc522175445 \h </w:instrText>
      </w:r>
      <w:r>
        <w:rPr>
          <w:b/>
        </w:rPr>
        <w:fldChar w:fldCharType="separate"/>
      </w:r>
      <w:r>
        <w:rPr>
          <w:b/>
        </w:rPr>
        <w:t>9</w:t>
      </w:r>
      <w:r>
        <w:rPr>
          <w:b/>
        </w:rPr>
        <w:fldChar w:fldCharType="end"/>
      </w:r>
      <w:r>
        <w:rPr>
          <w:b/>
        </w:rPr>
        <w:fldChar w:fldCharType="end"/>
      </w:r>
    </w:p>
    <w:p>
      <w:pPr>
        <w:pStyle w:val="8"/>
        <w:tabs>
          <w:tab w:val="right" w:leader="dot" w:pos="8296"/>
        </w:tabs>
        <w:rPr>
          <w:rFonts w:asciiTheme="minorHAnsi" w:hAnsiTheme="minorHAnsi" w:eastAsiaTheme="minorEastAsia" w:cstheme="minorBidi"/>
          <w:b/>
          <w:szCs w:val="22"/>
        </w:rPr>
      </w:pPr>
      <w:r>
        <w:fldChar w:fldCharType="begin"/>
      </w:r>
      <w:r>
        <w:instrText xml:space="preserve"> HYPERLINK \l "_Toc522175446" </w:instrText>
      </w:r>
      <w:r>
        <w:fldChar w:fldCharType="separate"/>
      </w:r>
      <w:r>
        <w:rPr>
          <w:rStyle w:val="20"/>
          <w:b/>
        </w:rPr>
        <w:t>2</w:t>
      </w:r>
      <w:r>
        <w:rPr>
          <w:rStyle w:val="20"/>
          <w:rFonts w:hint="eastAsia"/>
          <w:b/>
        </w:rPr>
        <w:t>、社会保障</w:t>
      </w:r>
      <w:r>
        <w:rPr>
          <w:b/>
        </w:rPr>
        <w:tab/>
      </w:r>
      <w:r>
        <w:rPr>
          <w:b/>
        </w:rPr>
        <w:fldChar w:fldCharType="begin"/>
      </w:r>
      <w:r>
        <w:rPr>
          <w:b/>
        </w:rPr>
        <w:instrText xml:space="preserve"> PAGEREF _Toc522175446 \h </w:instrText>
      </w:r>
      <w:r>
        <w:rPr>
          <w:b/>
        </w:rPr>
        <w:fldChar w:fldCharType="separate"/>
      </w:r>
      <w:r>
        <w:rPr>
          <w:b/>
        </w:rPr>
        <w:t>10</w:t>
      </w:r>
      <w:r>
        <w:rPr>
          <w:b/>
        </w:rPr>
        <w:fldChar w:fldCharType="end"/>
      </w:r>
      <w:r>
        <w:rPr>
          <w:b/>
        </w:rPr>
        <w:fldChar w:fldCharType="end"/>
      </w:r>
    </w:p>
    <w:p>
      <w:pPr>
        <w:pStyle w:val="8"/>
        <w:tabs>
          <w:tab w:val="right" w:leader="dot" w:pos="8296"/>
        </w:tabs>
        <w:rPr>
          <w:rFonts w:asciiTheme="minorHAnsi" w:hAnsiTheme="minorHAnsi" w:eastAsiaTheme="minorEastAsia" w:cstheme="minorBidi"/>
          <w:b/>
          <w:szCs w:val="22"/>
        </w:rPr>
      </w:pPr>
      <w:r>
        <w:fldChar w:fldCharType="begin"/>
      </w:r>
      <w:r>
        <w:instrText xml:space="preserve"> HYPERLINK \l "_Toc522175447" </w:instrText>
      </w:r>
      <w:r>
        <w:fldChar w:fldCharType="separate"/>
      </w:r>
      <w:r>
        <w:rPr>
          <w:rStyle w:val="20"/>
          <w:b/>
        </w:rPr>
        <w:t>3</w:t>
      </w:r>
      <w:r>
        <w:rPr>
          <w:rStyle w:val="20"/>
          <w:rFonts w:hint="eastAsia"/>
          <w:b/>
        </w:rPr>
        <w:t>、员工福利</w:t>
      </w:r>
      <w:r>
        <w:rPr>
          <w:b/>
        </w:rPr>
        <w:tab/>
      </w:r>
      <w:r>
        <w:rPr>
          <w:b/>
        </w:rPr>
        <w:fldChar w:fldCharType="begin"/>
      </w:r>
      <w:r>
        <w:rPr>
          <w:b/>
        </w:rPr>
        <w:instrText xml:space="preserve"> PAGEREF _Toc522175447 \h </w:instrText>
      </w:r>
      <w:r>
        <w:rPr>
          <w:b/>
        </w:rPr>
        <w:fldChar w:fldCharType="separate"/>
      </w:r>
      <w:r>
        <w:rPr>
          <w:b/>
        </w:rPr>
        <w:t>10</w:t>
      </w:r>
      <w:r>
        <w:rPr>
          <w:b/>
        </w:rPr>
        <w:fldChar w:fldCharType="end"/>
      </w:r>
      <w:r>
        <w:rPr>
          <w:b/>
        </w:rPr>
        <w:fldChar w:fldCharType="end"/>
      </w:r>
    </w:p>
    <w:p>
      <w:pPr>
        <w:pStyle w:val="8"/>
        <w:tabs>
          <w:tab w:val="right" w:leader="dot" w:pos="8296"/>
        </w:tabs>
        <w:rPr>
          <w:rFonts w:asciiTheme="minorHAnsi" w:hAnsiTheme="minorHAnsi" w:eastAsiaTheme="minorEastAsia" w:cstheme="minorBidi"/>
          <w:b/>
          <w:szCs w:val="22"/>
        </w:rPr>
      </w:pPr>
      <w:r>
        <w:fldChar w:fldCharType="begin"/>
      </w:r>
      <w:r>
        <w:instrText xml:space="preserve"> HYPERLINK \l "_Toc522175448" </w:instrText>
      </w:r>
      <w:r>
        <w:fldChar w:fldCharType="separate"/>
      </w:r>
      <w:r>
        <w:rPr>
          <w:rStyle w:val="20"/>
          <w:b/>
        </w:rPr>
        <w:t>4</w:t>
      </w:r>
      <w:r>
        <w:rPr>
          <w:rStyle w:val="20"/>
          <w:rFonts w:hint="eastAsia"/>
          <w:b/>
        </w:rPr>
        <w:t>、职业健康安全</w:t>
      </w:r>
      <w:r>
        <w:rPr>
          <w:b/>
        </w:rPr>
        <w:tab/>
      </w:r>
      <w:r>
        <w:rPr>
          <w:b/>
        </w:rPr>
        <w:fldChar w:fldCharType="begin"/>
      </w:r>
      <w:r>
        <w:rPr>
          <w:b/>
        </w:rPr>
        <w:instrText xml:space="preserve"> PAGEREF _Toc522175448 \h </w:instrText>
      </w:r>
      <w:r>
        <w:rPr>
          <w:b/>
        </w:rPr>
        <w:fldChar w:fldCharType="separate"/>
      </w:r>
      <w:r>
        <w:rPr>
          <w:b/>
        </w:rPr>
        <w:t>10</w:t>
      </w:r>
      <w:r>
        <w:rPr>
          <w:b/>
        </w:rPr>
        <w:fldChar w:fldCharType="end"/>
      </w:r>
      <w:r>
        <w:rPr>
          <w:b/>
        </w:rPr>
        <w:fldChar w:fldCharType="end"/>
      </w:r>
    </w:p>
    <w:p>
      <w:pPr>
        <w:pStyle w:val="8"/>
        <w:tabs>
          <w:tab w:val="right" w:leader="dot" w:pos="8296"/>
        </w:tabs>
        <w:rPr>
          <w:rFonts w:asciiTheme="minorHAnsi" w:hAnsiTheme="minorHAnsi" w:eastAsiaTheme="minorEastAsia" w:cstheme="minorBidi"/>
          <w:b/>
          <w:szCs w:val="22"/>
        </w:rPr>
      </w:pPr>
      <w:r>
        <w:fldChar w:fldCharType="begin"/>
      </w:r>
      <w:r>
        <w:instrText xml:space="preserve"> HYPERLINK \l "_Toc522175449" </w:instrText>
      </w:r>
      <w:r>
        <w:fldChar w:fldCharType="separate"/>
      </w:r>
      <w:r>
        <w:rPr>
          <w:rStyle w:val="20"/>
          <w:b/>
        </w:rPr>
        <w:t>5</w:t>
      </w:r>
      <w:r>
        <w:rPr>
          <w:rStyle w:val="20"/>
          <w:rFonts w:hint="eastAsia"/>
          <w:b/>
        </w:rPr>
        <w:t>、民主管理</w:t>
      </w:r>
      <w:r>
        <w:rPr>
          <w:b/>
        </w:rPr>
        <w:tab/>
      </w:r>
      <w:r>
        <w:rPr>
          <w:b/>
        </w:rPr>
        <w:fldChar w:fldCharType="begin"/>
      </w:r>
      <w:r>
        <w:rPr>
          <w:b/>
        </w:rPr>
        <w:instrText xml:space="preserve"> PAGEREF _Toc522175449 \h </w:instrText>
      </w:r>
      <w:r>
        <w:rPr>
          <w:b/>
        </w:rPr>
        <w:fldChar w:fldCharType="separate"/>
      </w:r>
      <w:r>
        <w:rPr>
          <w:b/>
        </w:rPr>
        <w:t>10</w:t>
      </w:r>
      <w:r>
        <w:rPr>
          <w:b/>
        </w:rPr>
        <w:fldChar w:fldCharType="end"/>
      </w:r>
      <w:r>
        <w:rPr>
          <w:b/>
        </w:rPr>
        <w:fldChar w:fldCharType="end"/>
      </w:r>
    </w:p>
    <w:p>
      <w:pPr>
        <w:pStyle w:val="8"/>
        <w:tabs>
          <w:tab w:val="right" w:leader="dot" w:pos="8296"/>
        </w:tabs>
        <w:rPr>
          <w:rFonts w:asciiTheme="minorHAnsi" w:hAnsiTheme="minorHAnsi" w:eastAsiaTheme="minorEastAsia" w:cstheme="minorBidi"/>
          <w:b/>
          <w:szCs w:val="22"/>
        </w:rPr>
      </w:pPr>
      <w:r>
        <w:fldChar w:fldCharType="begin"/>
      </w:r>
      <w:r>
        <w:instrText xml:space="preserve"> HYPERLINK \l "_Toc522175450" </w:instrText>
      </w:r>
      <w:r>
        <w:fldChar w:fldCharType="separate"/>
      </w:r>
      <w:r>
        <w:rPr>
          <w:rStyle w:val="20"/>
          <w:b/>
        </w:rPr>
        <w:t>6</w:t>
      </w:r>
      <w:r>
        <w:rPr>
          <w:rStyle w:val="20"/>
          <w:rFonts w:hint="eastAsia"/>
          <w:b/>
        </w:rPr>
        <w:t>、员工培训和发展</w:t>
      </w:r>
      <w:r>
        <w:rPr>
          <w:b/>
        </w:rPr>
        <w:tab/>
      </w:r>
      <w:r>
        <w:rPr>
          <w:b/>
        </w:rPr>
        <w:fldChar w:fldCharType="begin"/>
      </w:r>
      <w:r>
        <w:rPr>
          <w:b/>
        </w:rPr>
        <w:instrText xml:space="preserve"> PAGEREF _Toc522175450 \h </w:instrText>
      </w:r>
      <w:r>
        <w:rPr>
          <w:b/>
        </w:rPr>
        <w:fldChar w:fldCharType="separate"/>
      </w:r>
      <w:r>
        <w:rPr>
          <w:b/>
        </w:rPr>
        <w:t>11</w:t>
      </w:r>
      <w:r>
        <w:rPr>
          <w:b/>
        </w:rPr>
        <w:fldChar w:fldCharType="end"/>
      </w:r>
      <w:r>
        <w:rPr>
          <w:b/>
        </w:rPr>
        <w:fldChar w:fldCharType="end"/>
      </w:r>
    </w:p>
    <w:p>
      <w:pPr>
        <w:pStyle w:val="16"/>
        <w:tabs>
          <w:tab w:val="right" w:leader="dot" w:pos="8296"/>
        </w:tabs>
        <w:rPr>
          <w:rFonts w:asciiTheme="minorHAnsi" w:hAnsiTheme="minorHAnsi" w:eastAsiaTheme="minorEastAsia" w:cstheme="minorBidi"/>
          <w:b/>
          <w:szCs w:val="22"/>
        </w:rPr>
      </w:pPr>
      <w:r>
        <w:fldChar w:fldCharType="begin"/>
      </w:r>
      <w:r>
        <w:instrText xml:space="preserve"> HYPERLINK \l "_Toc522175451" </w:instrText>
      </w:r>
      <w:r>
        <w:fldChar w:fldCharType="separate"/>
      </w:r>
      <w:r>
        <w:rPr>
          <w:rStyle w:val="20"/>
          <w:rFonts w:hint="eastAsia"/>
          <w:b/>
        </w:rPr>
        <w:t>九、社会责任</w:t>
      </w:r>
      <w:r>
        <w:rPr>
          <w:b/>
        </w:rPr>
        <w:tab/>
      </w:r>
      <w:r>
        <w:rPr>
          <w:b/>
        </w:rPr>
        <w:fldChar w:fldCharType="begin"/>
      </w:r>
      <w:r>
        <w:rPr>
          <w:b/>
        </w:rPr>
        <w:instrText xml:space="preserve"> PAGEREF _Toc522175451 \h </w:instrText>
      </w:r>
      <w:r>
        <w:rPr>
          <w:b/>
        </w:rPr>
        <w:fldChar w:fldCharType="separate"/>
      </w:r>
      <w:r>
        <w:rPr>
          <w:b/>
        </w:rPr>
        <w:t>11</w:t>
      </w:r>
      <w:r>
        <w:rPr>
          <w:b/>
        </w:rPr>
        <w:fldChar w:fldCharType="end"/>
      </w:r>
      <w:r>
        <w:rPr>
          <w:b/>
        </w:rPr>
        <w:fldChar w:fldCharType="end"/>
      </w:r>
    </w:p>
    <w:p>
      <w:pPr>
        <w:pStyle w:val="16"/>
        <w:tabs>
          <w:tab w:val="right" w:leader="dot" w:pos="8296"/>
        </w:tabs>
        <w:rPr>
          <w:rFonts w:asciiTheme="minorHAnsi" w:hAnsiTheme="minorHAnsi" w:eastAsiaTheme="minorEastAsia" w:cstheme="minorBidi"/>
          <w:b/>
          <w:szCs w:val="22"/>
        </w:rPr>
      </w:pPr>
      <w:r>
        <w:fldChar w:fldCharType="begin"/>
      </w:r>
      <w:r>
        <w:instrText xml:space="preserve"> HYPERLINK \l "_Toc522175452" </w:instrText>
      </w:r>
      <w:r>
        <w:fldChar w:fldCharType="separate"/>
      </w:r>
      <w:r>
        <w:rPr>
          <w:rStyle w:val="20"/>
          <w:rFonts w:hint="eastAsia" w:ascii="宋体" w:hAnsi="宋体"/>
          <w:b/>
        </w:rPr>
        <w:t>提要</w:t>
      </w:r>
      <w:r>
        <w:rPr>
          <w:b/>
        </w:rPr>
        <w:tab/>
      </w:r>
      <w:r>
        <w:rPr>
          <w:b/>
        </w:rPr>
        <w:fldChar w:fldCharType="begin"/>
      </w:r>
      <w:r>
        <w:rPr>
          <w:b/>
        </w:rPr>
        <w:instrText xml:space="preserve"> PAGEREF _Toc522175452 \h </w:instrText>
      </w:r>
      <w:r>
        <w:rPr>
          <w:b/>
        </w:rPr>
        <w:fldChar w:fldCharType="separate"/>
      </w:r>
      <w:r>
        <w:rPr>
          <w:b/>
        </w:rPr>
        <w:t>11</w:t>
      </w:r>
      <w:r>
        <w:rPr>
          <w:b/>
        </w:rPr>
        <w:fldChar w:fldCharType="end"/>
      </w:r>
      <w:r>
        <w:rPr>
          <w:b/>
        </w:rPr>
        <w:fldChar w:fldCharType="end"/>
      </w:r>
    </w:p>
    <w:p>
      <w:pPr>
        <w:pStyle w:val="16"/>
        <w:tabs>
          <w:tab w:val="right" w:leader="dot" w:pos="8296"/>
        </w:tabs>
        <w:ind w:firstLine="411" w:firstLineChars="196"/>
        <w:rPr>
          <w:rFonts w:asciiTheme="minorHAnsi" w:hAnsiTheme="minorHAnsi" w:eastAsiaTheme="minorEastAsia" w:cstheme="minorBidi"/>
          <w:b/>
          <w:szCs w:val="22"/>
        </w:rPr>
      </w:pPr>
      <w:r>
        <w:fldChar w:fldCharType="begin"/>
      </w:r>
      <w:r>
        <w:instrText xml:space="preserve"> HYPERLINK \l "_Toc522175453" </w:instrText>
      </w:r>
      <w:r>
        <w:fldChar w:fldCharType="separate"/>
      </w:r>
      <w:r>
        <w:rPr>
          <w:rStyle w:val="20"/>
          <w:rFonts w:ascii="宋体" w:hAnsi="宋体"/>
          <w:b/>
        </w:rPr>
        <w:t>1</w:t>
      </w:r>
      <w:r>
        <w:rPr>
          <w:rStyle w:val="20"/>
          <w:rFonts w:hint="eastAsia" w:ascii="宋体" w:hAnsi="宋体"/>
          <w:b/>
        </w:rPr>
        <w:t>、公共责任</w:t>
      </w:r>
      <w:r>
        <w:rPr>
          <w:b/>
        </w:rPr>
        <w:tab/>
      </w:r>
      <w:r>
        <w:rPr>
          <w:b/>
        </w:rPr>
        <w:fldChar w:fldCharType="begin"/>
      </w:r>
      <w:r>
        <w:rPr>
          <w:b/>
        </w:rPr>
        <w:instrText xml:space="preserve"> PAGEREF _Toc522175453 \h </w:instrText>
      </w:r>
      <w:r>
        <w:rPr>
          <w:b/>
        </w:rPr>
        <w:fldChar w:fldCharType="separate"/>
      </w:r>
      <w:r>
        <w:rPr>
          <w:b/>
        </w:rPr>
        <w:t>12</w:t>
      </w:r>
      <w:r>
        <w:rPr>
          <w:b/>
        </w:rPr>
        <w:fldChar w:fldCharType="end"/>
      </w:r>
      <w:r>
        <w:rPr>
          <w:b/>
        </w:rPr>
        <w:fldChar w:fldCharType="end"/>
      </w:r>
    </w:p>
    <w:p>
      <w:pPr>
        <w:pStyle w:val="16"/>
        <w:tabs>
          <w:tab w:val="right" w:leader="dot" w:pos="8296"/>
        </w:tabs>
        <w:ind w:firstLine="411" w:firstLineChars="196"/>
        <w:rPr>
          <w:rFonts w:asciiTheme="minorHAnsi" w:hAnsiTheme="minorHAnsi" w:eastAsiaTheme="minorEastAsia" w:cstheme="minorBidi"/>
          <w:b/>
          <w:szCs w:val="22"/>
        </w:rPr>
      </w:pPr>
      <w:r>
        <w:fldChar w:fldCharType="begin"/>
      </w:r>
      <w:r>
        <w:instrText xml:space="preserve"> HYPERLINK \l "_Toc522175454" </w:instrText>
      </w:r>
      <w:r>
        <w:fldChar w:fldCharType="separate"/>
      </w:r>
      <w:r>
        <w:rPr>
          <w:rStyle w:val="20"/>
          <w:rFonts w:ascii="宋体" w:hAnsi="宋体"/>
          <w:b/>
        </w:rPr>
        <w:t>2</w:t>
      </w:r>
      <w:r>
        <w:rPr>
          <w:rStyle w:val="20"/>
          <w:rFonts w:hint="eastAsia" w:ascii="宋体" w:hAnsi="宋体"/>
          <w:b/>
        </w:rPr>
        <w:t>、道德行为</w:t>
      </w:r>
      <w:r>
        <w:rPr>
          <w:b/>
        </w:rPr>
        <w:tab/>
      </w:r>
      <w:r>
        <w:rPr>
          <w:b/>
        </w:rPr>
        <w:fldChar w:fldCharType="begin"/>
      </w:r>
      <w:r>
        <w:rPr>
          <w:b/>
        </w:rPr>
        <w:instrText xml:space="preserve"> PAGEREF _Toc522175454 \h </w:instrText>
      </w:r>
      <w:r>
        <w:rPr>
          <w:b/>
        </w:rPr>
        <w:fldChar w:fldCharType="separate"/>
      </w:r>
      <w:r>
        <w:rPr>
          <w:b/>
        </w:rPr>
        <w:t>15</w:t>
      </w:r>
      <w:r>
        <w:rPr>
          <w:b/>
        </w:rPr>
        <w:fldChar w:fldCharType="end"/>
      </w:r>
      <w:r>
        <w:rPr>
          <w:b/>
        </w:rPr>
        <w:fldChar w:fldCharType="end"/>
      </w:r>
    </w:p>
    <w:p>
      <w:pPr>
        <w:pStyle w:val="16"/>
        <w:tabs>
          <w:tab w:val="left" w:pos="1260"/>
          <w:tab w:val="right" w:leader="dot" w:pos="8296"/>
        </w:tabs>
        <w:ind w:firstLine="411" w:firstLineChars="196"/>
        <w:rPr>
          <w:rFonts w:asciiTheme="minorHAnsi" w:hAnsiTheme="minorHAnsi" w:eastAsiaTheme="minorEastAsia" w:cstheme="minorBidi"/>
          <w:szCs w:val="22"/>
        </w:rPr>
      </w:pPr>
      <w:r>
        <w:fldChar w:fldCharType="begin"/>
      </w:r>
      <w:r>
        <w:instrText xml:space="preserve"> HYPERLINK \l "_Toc522175455" </w:instrText>
      </w:r>
      <w:r>
        <w:fldChar w:fldCharType="separate"/>
      </w:r>
      <w:r>
        <w:rPr>
          <w:rStyle w:val="20"/>
          <w:rFonts w:hint="eastAsia" w:ascii="宋体" w:hAnsi="宋体"/>
          <w:b/>
        </w:rPr>
        <w:t>3、自愿开展公益支持：</w:t>
      </w:r>
      <w:r>
        <w:rPr>
          <w:b/>
        </w:rPr>
        <w:tab/>
      </w:r>
      <w:r>
        <w:rPr>
          <w:b/>
        </w:rPr>
        <w:fldChar w:fldCharType="begin"/>
      </w:r>
      <w:r>
        <w:rPr>
          <w:b/>
        </w:rPr>
        <w:instrText xml:space="preserve"> PAGEREF _Toc522175455 \h </w:instrText>
      </w:r>
      <w:r>
        <w:rPr>
          <w:b/>
        </w:rPr>
        <w:fldChar w:fldCharType="separate"/>
      </w:r>
      <w:r>
        <w:rPr>
          <w:b/>
        </w:rPr>
        <w:t>17</w:t>
      </w:r>
      <w:r>
        <w:rPr>
          <w:b/>
        </w:rPr>
        <w:fldChar w:fldCharType="end"/>
      </w:r>
      <w:r>
        <w:rPr>
          <w:b/>
        </w:rPr>
        <w:fldChar w:fldCharType="end"/>
      </w:r>
    </w:p>
    <w:p>
      <w:r>
        <w:rPr>
          <w:rFonts w:hint="eastAsia"/>
        </w:rPr>
        <w:fldChar w:fldCharType="end"/>
      </w:r>
    </w:p>
    <w:p/>
    <w:p/>
    <w:p/>
    <w:p/>
    <w:p/>
    <w:p>
      <w:pPr>
        <w:pStyle w:val="4"/>
      </w:pPr>
    </w:p>
    <w:p>
      <w:pPr>
        <w:pStyle w:val="4"/>
        <w:jc w:val="left"/>
      </w:pPr>
      <w:bookmarkStart w:id="3" w:name="_Toc522175429"/>
      <w:r>
        <w:rPr>
          <w:rFonts w:hint="eastAsia"/>
        </w:rPr>
        <w:t>一、公司简介：</w:t>
      </w:r>
      <w:bookmarkEnd w:id="3"/>
    </w:p>
    <w:p>
      <w:pPr>
        <w:adjustRightInd w:val="0"/>
        <w:snapToGrid w:val="0"/>
        <w:spacing w:line="360" w:lineRule="auto"/>
        <w:ind w:firstLine="480" w:firstLineChars="200"/>
        <w:rPr>
          <w:sz w:val="24"/>
          <w:szCs w:val="24"/>
        </w:rPr>
      </w:pPr>
      <w:bookmarkStart w:id="4" w:name="_Toc522175430"/>
      <w:r>
        <w:rPr>
          <w:rFonts w:hint="eastAsia"/>
          <w:sz w:val="24"/>
          <w:szCs w:val="24"/>
        </w:rPr>
        <w:t>江苏诚意住宅工业科技发展有限公司是集住宅工业化技术研发、设计、工业化住宅装配、制造、销售、售后服务及技术咨询服务为一体的大型绿色建材生产基地。</w:t>
      </w:r>
    </w:p>
    <w:p>
      <w:pPr>
        <w:adjustRightInd w:val="0"/>
        <w:snapToGrid w:val="0"/>
        <w:spacing w:line="360" w:lineRule="auto"/>
        <w:ind w:firstLine="480" w:firstLineChars="200"/>
        <w:rPr>
          <w:sz w:val="24"/>
          <w:szCs w:val="24"/>
        </w:rPr>
      </w:pPr>
      <w:r>
        <w:rPr>
          <w:rFonts w:hint="eastAsia"/>
          <w:sz w:val="24"/>
          <w:szCs w:val="24"/>
        </w:rPr>
        <w:t>项目总投资5.5亿元，项目分一、二期进行。一期项目总投资3.5亿元，占地面积约62亩，拟建PC构制件自动化流水线2条，自动钢筋加工线1条，固定模台生产线1条，标准模台90台，目前形象进度已达75%。预计元月一日投产运行。</w:t>
      </w:r>
    </w:p>
    <w:p>
      <w:pPr>
        <w:adjustRightInd w:val="0"/>
        <w:snapToGrid w:val="0"/>
        <w:spacing w:line="360" w:lineRule="auto"/>
        <w:ind w:firstLine="480" w:firstLineChars="200"/>
        <w:rPr>
          <w:sz w:val="24"/>
          <w:szCs w:val="24"/>
        </w:rPr>
      </w:pPr>
      <w:r>
        <w:rPr>
          <w:rFonts w:hint="eastAsia"/>
          <w:sz w:val="24"/>
          <w:szCs w:val="24"/>
        </w:rPr>
        <w:t>二期项目总投资2亿元，占地面积约78亩，拟建PC构制件自动化流水线2条，项目完全投产后，可达年产量25万立方米建筑同时施工的供货量。届时将实现销售收入8亿元、税收6000万元。住宅工业是中国国民经济发展的增长点，发展空间十分巨大，是前景光明的绿色朝阳产业。</w:t>
      </w:r>
    </w:p>
    <w:p>
      <w:pPr>
        <w:pStyle w:val="4"/>
      </w:pPr>
      <w:r>
        <w:rPr>
          <w:rFonts w:hint="eastAsia"/>
        </w:rPr>
        <w:t>二、经营状况：</w:t>
      </w:r>
      <w:bookmarkEnd w:id="4"/>
    </w:p>
    <w:p>
      <w:pPr>
        <w:widowControl/>
        <w:shd w:val="clear" w:color="auto" w:fill="FFFFFF"/>
        <w:spacing w:line="360" w:lineRule="auto"/>
        <w:ind w:firstLine="420"/>
        <w:jc w:val="left"/>
        <w:rPr>
          <w:rFonts w:ascii="宋体" w:hAnsi="宋体"/>
          <w:spacing w:val="-4"/>
          <w:sz w:val="24"/>
          <w:highlight w:val="yellow"/>
        </w:rPr>
      </w:pPr>
      <w:r>
        <w:rPr>
          <w:rFonts w:hint="eastAsia" w:ascii="宋体" w:hAnsi="宋体"/>
          <w:spacing w:val="-4"/>
          <w:sz w:val="24"/>
        </w:rPr>
        <w:t>2023年，公司坚持走品牌建设路线，以“建设质量领先、环境优美、资源节约的创新型企业。为客户、为员工、为社会创造价值”为使命，紧紧围绕全年工作计划部署开展工作，取得了可喜的成绩，在各业务模块获得了重要的突破和增长。年末人员规模达到200人，经营规模持续保持良好的增长，公司行业地位进一步提升和巩固，尤其是公司主流技术产品获得了较高的市场认同。2023年企业共生产砼结构预制构件55223方，完成工业总产值13800万元，工业增加值1100万元。</w:t>
      </w:r>
    </w:p>
    <w:p>
      <w:pPr>
        <w:pStyle w:val="4"/>
        <w:numPr>
          <w:ilvl w:val="0"/>
          <w:numId w:val="1"/>
        </w:numPr>
      </w:pPr>
      <w:bookmarkStart w:id="5" w:name="_Toc522175431"/>
      <w:r>
        <w:rPr>
          <w:rFonts w:hint="eastAsia"/>
        </w:rPr>
        <w:t>组织架构图:</w:t>
      </w:r>
      <w:bookmarkEnd w:id="5"/>
    </w:p>
    <w:p>
      <w:r>
        <w:rPr>
          <w:rFonts w:hint="eastAsia"/>
        </w:rPr>
        <w:drawing>
          <wp:inline distT="0" distB="0" distL="114300" distR="114300">
            <wp:extent cx="5269230" cy="3872865"/>
            <wp:effectExtent l="0" t="0" r="7620" b="13335"/>
            <wp:docPr id="1" name="图片 1" descr="1705047578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05047578210"/>
                    <pic:cNvPicPr>
                      <a:picLocks noChangeAspect="1"/>
                    </pic:cNvPicPr>
                  </pic:nvPicPr>
                  <pic:blipFill>
                    <a:blip r:embed="rId4"/>
                    <a:stretch>
                      <a:fillRect/>
                    </a:stretch>
                  </pic:blipFill>
                  <pic:spPr>
                    <a:xfrm>
                      <a:off x="0" y="0"/>
                      <a:ext cx="5269230" cy="3872865"/>
                    </a:xfrm>
                    <a:prstGeom prst="rect">
                      <a:avLst/>
                    </a:prstGeom>
                  </pic:spPr>
                </pic:pic>
              </a:graphicData>
            </a:graphic>
          </wp:inline>
        </w:drawing>
      </w:r>
    </w:p>
    <w:p/>
    <w:p/>
    <w:p/>
    <w:p>
      <w:pPr>
        <w:pStyle w:val="4"/>
      </w:pPr>
      <w:bookmarkStart w:id="6" w:name="_Toc522175432"/>
      <w:r>
        <w:rPr>
          <w:rFonts w:hint="eastAsia"/>
        </w:rPr>
        <w:t>四、技术创新</w:t>
      </w:r>
      <w:bookmarkEnd w:id="6"/>
    </w:p>
    <w:p>
      <w:pPr>
        <w:spacing w:line="480" w:lineRule="exact"/>
        <w:ind w:firstLine="480" w:firstLineChars="200"/>
        <w:outlineLvl w:val="1"/>
        <w:rPr>
          <w:rFonts w:eastAsiaTheme="minorEastAsia"/>
          <w:sz w:val="24"/>
          <w:szCs w:val="24"/>
        </w:rPr>
      </w:pPr>
      <w:bookmarkStart w:id="7" w:name="_Toc522175433"/>
      <w:r>
        <w:rPr>
          <w:rFonts w:hint="eastAsia" w:eastAsiaTheme="minorEastAsia"/>
          <w:sz w:val="24"/>
          <w:szCs w:val="24"/>
        </w:rPr>
        <w:t>1、技术管理工作：</w:t>
      </w:r>
      <w:bookmarkEnd w:id="7"/>
    </w:p>
    <w:p>
      <w:pPr>
        <w:spacing w:line="480" w:lineRule="exact"/>
        <w:ind w:firstLine="480" w:firstLineChars="200"/>
        <w:rPr>
          <w:rFonts w:eastAsiaTheme="minorEastAsia"/>
          <w:sz w:val="24"/>
          <w:szCs w:val="24"/>
        </w:rPr>
      </w:pPr>
      <w:r>
        <w:rPr>
          <w:rFonts w:hint="eastAsia" w:eastAsiaTheme="minorEastAsia"/>
          <w:sz w:val="24"/>
          <w:szCs w:val="24"/>
        </w:rPr>
        <w:t>公司现主要生产叠合板、预制楼梯、预制剪力墙、预制围护墙、顶管等。</w:t>
      </w:r>
    </w:p>
    <w:p>
      <w:pPr>
        <w:spacing w:line="480" w:lineRule="exact"/>
        <w:ind w:firstLine="480" w:firstLineChars="200"/>
        <w:rPr>
          <w:rFonts w:eastAsiaTheme="minorEastAsia"/>
          <w:sz w:val="24"/>
          <w:szCs w:val="24"/>
        </w:rPr>
      </w:pPr>
      <w:r>
        <w:rPr>
          <w:rFonts w:hint="eastAsia" w:eastAsiaTheme="minorEastAsia"/>
          <w:sz w:val="24"/>
          <w:szCs w:val="24"/>
        </w:rPr>
        <w:t>目前由于辅助材料，人力资源，能源费用等的不断攀升，市场的竞争日益激烈，为确保在市场中保证“诚意”品牌的优势，在竞争中立于不败之地并且保持长远持续的发展，公司的高层领导团队都充分意识到必须提高产品的技术水平，加强新产品的开发投入力度。</w:t>
      </w:r>
    </w:p>
    <w:p>
      <w:pPr>
        <w:spacing w:line="480" w:lineRule="exact"/>
        <w:ind w:firstLine="480" w:firstLineChars="200"/>
        <w:rPr>
          <w:rFonts w:eastAsiaTheme="minorEastAsia"/>
          <w:sz w:val="24"/>
          <w:szCs w:val="24"/>
        </w:rPr>
      </w:pPr>
      <w:r>
        <w:rPr>
          <w:rFonts w:hint="eastAsia" w:eastAsiaTheme="minorEastAsia"/>
          <w:sz w:val="24"/>
          <w:szCs w:val="24"/>
        </w:rPr>
        <w:t>于2018年，公司决定自己的研发机构，组建新的研发团队，目前研发人员达到11人，全部为大学以上文凭，2020年度徐州市认定——市认定企业技术中心，是一支综合能力强，具有竞争活力的年轻队伍。公司将质量改进，技术革新与绩效考核挂钩，激发了员工的工作热情，促进了设备改良、工艺改进等技改项目的推进，对于先进的生产管理技术大力推广应用，公司鼓励员工积极使用先进的管理办法，并提供相应的平台对于新进员工进行有效的培训，使其迅速融入团队，使用先进管理办法，对于项目的管理和推进起到积极推动作用，公司对于项目的推进制定相应的计划和时间进度表，并指派专门的人员进行跟踪指导，积极协调，使每个部门的项目能够及时保质保量的完成。</w:t>
      </w:r>
    </w:p>
    <w:p>
      <w:pPr>
        <w:spacing w:line="480" w:lineRule="exact"/>
        <w:ind w:firstLine="480" w:firstLineChars="200"/>
        <w:rPr>
          <w:rFonts w:eastAsiaTheme="minorEastAsia"/>
          <w:sz w:val="24"/>
          <w:szCs w:val="24"/>
        </w:rPr>
      </w:pPr>
      <w:r>
        <w:rPr>
          <w:rFonts w:hint="eastAsia" w:eastAsiaTheme="minorEastAsia"/>
          <w:sz w:val="24"/>
          <w:szCs w:val="24"/>
        </w:rPr>
        <w:t>自公司成立来，一直受到政府的重视及积极支持，2</w:t>
      </w:r>
      <w:r>
        <w:rPr>
          <w:rFonts w:eastAsiaTheme="minorEastAsia"/>
          <w:sz w:val="24"/>
          <w:szCs w:val="24"/>
        </w:rPr>
        <w:t>023</w:t>
      </w:r>
      <w:r>
        <w:rPr>
          <w:rFonts w:hint="eastAsia" w:eastAsiaTheme="minorEastAsia"/>
          <w:sz w:val="24"/>
          <w:szCs w:val="24"/>
        </w:rPr>
        <w:t>年已申报成为高新技术企业。</w:t>
      </w:r>
    </w:p>
    <w:p>
      <w:pPr>
        <w:pStyle w:val="2"/>
        <w:ind w:firstLine="480"/>
        <w:rPr>
          <w:rFonts w:eastAsiaTheme="minorEastAsia"/>
          <w:sz w:val="24"/>
          <w:szCs w:val="24"/>
        </w:rPr>
      </w:pPr>
      <w:r>
        <w:rPr>
          <w:rFonts w:hint="eastAsia" w:eastAsiaTheme="minorEastAsia"/>
          <w:sz w:val="24"/>
          <w:szCs w:val="24"/>
        </w:rPr>
        <w:t>公司全面引进国内外先进的生产工艺和设备，把防污减噪、降低成本作为重点。如在公司运行的销售、计划、采购、生产、供应链、财务、仓储、质量控制、人事、研发项目管理等各个环节中推行使用数据库系统，最大化的实现无纸化办公，对所有技术文档及产品生产工艺进行统一电子化管理，同时运用其他管理软件，用于辅助生产管理，大大提高了生产效率及品质管理水平。</w:t>
      </w:r>
    </w:p>
    <w:p>
      <w:pPr>
        <w:pStyle w:val="2"/>
        <w:ind w:firstLine="480"/>
        <w:rPr>
          <w:rFonts w:eastAsiaTheme="minorEastAsia"/>
          <w:sz w:val="24"/>
          <w:szCs w:val="24"/>
        </w:rPr>
      </w:pPr>
      <w:r>
        <w:rPr>
          <w:rFonts w:hint="eastAsia" w:eastAsiaTheme="minorEastAsia"/>
          <w:sz w:val="24"/>
          <w:szCs w:val="24"/>
        </w:rPr>
        <w:t>在项目投产后继续抓节能降耗，在高效智能的生产设备基础上，主动采用自动化设备节能低耗生产工艺、不断优化生产流程、实施技术改造与科学管理，使设备运行效率和生产效率都有了较大的提高，持续推进了公司的环境建设，实现了“低投入”、“高产出”、“高效率”的清洁生产目标，大大的提升了设备产能的同时，减少对环境的污染。完成了能源管理体系认证。</w:t>
      </w:r>
    </w:p>
    <w:p>
      <w:pPr>
        <w:pStyle w:val="2"/>
        <w:ind w:firstLine="480"/>
        <w:rPr>
          <w:rFonts w:hint="eastAsia" w:eastAsiaTheme="minorEastAsia"/>
          <w:sz w:val="24"/>
          <w:szCs w:val="24"/>
        </w:rPr>
      </w:pPr>
      <w:r>
        <w:rPr>
          <w:rFonts w:hint="eastAsia" w:eastAsiaTheme="minorEastAsia"/>
          <w:sz w:val="24"/>
          <w:szCs w:val="24"/>
        </w:rPr>
        <w:t>公司自2018年以来，总计进行了8项课题研究，其中2项《新型先张法预应力预制高强度混凝土波形板桩应用关键技术研究》及《轨道交通矩形顶管管节的预制关键技术研究》为市级研发课题，《智分缝耗能减震型预制墙体的成套关键技术研发》为校企联合项目，其余为自主研发项目。我司研发设计团队，能够立足市场、立足产品需求，从产品设计、模具设计、生产工艺、产线设计、包装运输等方面着手，完成各方面产品突破，形成了一套完整的设计研发思路。</w:t>
      </w:r>
    </w:p>
    <w:tbl>
      <w:tblPr>
        <w:tblStyle w:val="18"/>
        <w:tblW w:w="0" w:type="auto"/>
        <w:tblInd w:w="0" w:type="dxa"/>
        <w:tblBorders>
          <w:top w:val="single" w:color="1E4D78" w:sz="12" w:space="0"/>
          <w:left w:val="single" w:color="1E4D78" w:sz="12" w:space="0"/>
          <w:bottom w:val="single" w:color="1E4D78" w:sz="12" w:space="0"/>
          <w:right w:val="single" w:color="1E4D78" w:sz="12" w:space="0"/>
          <w:insideH w:val="dotted" w:color="1E4D78" w:sz="4" w:space="0"/>
          <w:insideV w:val="dotted" w:color="1E4D78" w:sz="4" w:space="0"/>
        </w:tblBorders>
        <w:tblLayout w:type="fixed"/>
        <w:tblCellMar>
          <w:top w:w="0" w:type="dxa"/>
          <w:left w:w="108" w:type="dxa"/>
          <w:bottom w:w="0" w:type="dxa"/>
          <w:right w:w="108" w:type="dxa"/>
        </w:tblCellMar>
      </w:tblPr>
      <w:tblGrid>
        <w:gridCol w:w="4270"/>
        <w:gridCol w:w="4270"/>
      </w:tblGrid>
      <w:tr>
        <w:tblPrEx>
          <w:tblBorders>
            <w:top w:val="single" w:color="1E4D78" w:sz="12" w:space="0"/>
            <w:left w:val="single" w:color="1E4D78" w:sz="12" w:space="0"/>
            <w:bottom w:val="single" w:color="1E4D78" w:sz="12" w:space="0"/>
            <w:right w:val="single" w:color="1E4D78" w:sz="12" w:space="0"/>
            <w:insideH w:val="dotted" w:color="1E4D78" w:sz="4" w:space="0"/>
            <w:insideV w:val="dotted" w:color="1E4D78" w:sz="4" w:space="0"/>
          </w:tblBorders>
          <w:tblCellMar>
            <w:top w:w="0" w:type="dxa"/>
            <w:left w:w="108" w:type="dxa"/>
            <w:bottom w:w="0" w:type="dxa"/>
            <w:right w:w="108" w:type="dxa"/>
          </w:tblCellMar>
        </w:tblPrEx>
        <w:trPr>
          <w:trHeight w:val="3023" w:hRule="atLeast"/>
        </w:trPr>
        <w:tc>
          <w:tcPr>
            <w:tcW w:w="4270" w:type="dxa"/>
          </w:tcPr>
          <w:p>
            <w:pPr>
              <w:snapToGrid w:val="0"/>
              <w:spacing w:line="360" w:lineRule="auto"/>
              <w:jc w:val="left"/>
              <w:rPr>
                <w:rFonts w:ascii="宋体" w:hAnsi="宋体" w:cs="宋体"/>
                <w:sz w:val="24"/>
              </w:rPr>
            </w:pPr>
            <w:r>
              <w:rPr>
                <w:rFonts w:hint="eastAsia" w:ascii="宋体" w:hAnsi="宋体" w:cs="宋体"/>
                <w:sz w:val="24"/>
              </w:rPr>
              <w:drawing>
                <wp:inline distT="0" distB="0" distL="114300" distR="114300">
                  <wp:extent cx="2567940" cy="1507490"/>
                  <wp:effectExtent l="0" t="0" r="3810" b="16510"/>
                  <wp:docPr id="2" name="图片 2" descr="1705047879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05047879938"/>
                          <pic:cNvPicPr>
                            <a:picLocks noChangeAspect="1"/>
                          </pic:cNvPicPr>
                        </pic:nvPicPr>
                        <pic:blipFill>
                          <a:blip r:embed="rId5"/>
                          <a:stretch>
                            <a:fillRect/>
                          </a:stretch>
                        </pic:blipFill>
                        <pic:spPr>
                          <a:xfrm>
                            <a:off x="0" y="0"/>
                            <a:ext cx="2567940" cy="1507490"/>
                          </a:xfrm>
                          <a:prstGeom prst="rect">
                            <a:avLst/>
                          </a:prstGeom>
                        </pic:spPr>
                      </pic:pic>
                    </a:graphicData>
                  </a:graphic>
                </wp:inline>
              </w:drawing>
            </w:r>
          </w:p>
        </w:tc>
        <w:tc>
          <w:tcPr>
            <w:tcW w:w="4270" w:type="dxa"/>
          </w:tcPr>
          <w:p>
            <w:pPr>
              <w:snapToGrid w:val="0"/>
              <w:spacing w:line="360" w:lineRule="auto"/>
              <w:jc w:val="left"/>
              <w:rPr>
                <w:rFonts w:ascii="宋体" w:hAnsi="宋体" w:cs="宋体"/>
                <w:sz w:val="24"/>
              </w:rPr>
            </w:pPr>
            <w:r>
              <w:rPr>
                <w:rFonts w:hint="eastAsia" w:ascii="宋体" w:hAnsi="宋体" w:cs="宋体"/>
                <w:sz w:val="24"/>
              </w:rPr>
              <w:drawing>
                <wp:inline distT="0" distB="0" distL="114300" distR="114300">
                  <wp:extent cx="2572385" cy="1402080"/>
                  <wp:effectExtent l="0" t="0" r="18415" b="7620"/>
                  <wp:docPr id="3" name="图片 3" descr="170504791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05047910027"/>
                          <pic:cNvPicPr>
                            <a:picLocks noChangeAspect="1"/>
                          </pic:cNvPicPr>
                        </pic:nvPicPr>
                        <pic:blipFill>
                          <a:blip r:embed="rId6"/>
                          <a:stretch>
                            <a:fillRect/>
                          </a:stretch>
                        </pic:blipFill>
                        <pic:spPr>
                          <a:xfrm>
                            <a:off x="0" y="0"/>
                            <a:ext cx="2572385" cy="1402080"/>
                          </a:xfrm>
                          <a:prstGeom prst="rect">
                            <a:avLst/>
                          </a:prstGeom>
                        </pic:spPr>
                      </pic:pic>
                    </a:graphicData>
                  </a:graphic>
                </wp:inline>
              </w:drawing>
            </w:r>
          </w:p>
        </w:tc>
      </w:tr>
      <w:tr>
        <w:tblPrEx>
          <w:tblBorders>
            <w:top w:val="single" w:color="1E4D78" w:sz="12" w:space="0"/>
            <w:left w:val="single" w:color="1E4D78" w:sz="12" w:space="0"/>
            <w:bottom w:val="single" w:color="1E4D78" w:sz="12" w:space="0"/>
            <w:right w:val="single" w:color="1E4D78" w:sz="12" w:space="0"/>
            <w:insideH w:val="dotted" w:color="1E4D78" w:sz="4" w:space="0"/>
            <w:insideV w:val="dotted" w:color="1E4D78" w:sz="4" w:space="0"/>
          </w:tblBorders>
          <w:tblCellMar>
            <w:top w:w="0" w:type="dxa"/>
            <w:left w:w="108" w:type="dxa"/>
            <w:bottom w:w="0" w:type="dxa"/>
            <w:right w:w="108" w:type="dxa"/>
          </w:tblCellMar>
        </w:tblPrEx>
        <w:trPr>
          <w:trHeight w:val="2952" w:hRule="atLeast"/>
        </w:trPr>
        <w:tc>
          <w:tcPr>
            <w:tcW w:w="4270" w:type="dxa"/>
          </w:tcPr>
          <w:p>
            <w:pPr>
              <w:snapToGrid w:val="0"/>
              <w:spacing w:line="360" w:lineRule="auto"/>
              <w:jc w:val="left"/>
              <w:rPr>
                <w:rFonts w:ascii="宋体" w:hAnsi="宋体" w:cs="宋体"/>
                <w:sz w:val="24"/>
              </w:rPr>
            </w:pPr>
            <w:r>
              <w:rPr>
                <w:rFonts w:hint="eastAsia" w:ascii="宋体" w:hAnsi="宋体" w:cs="宋体"/>
                <w:sz w:val="24"/>
              </w:rPr>
              <w:drawing>
                <wp:inline distT="0" distB="0" distL="114300" distR="114300">
                  <wp:extent cx="2566035" cy="1358265"/>
                  <wp:effectExtent l="0" t="0" r="5715" b="13335"/>
                  <wp:docPr id="4" name="图片 4" descr="1705047958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05047958707"/>
                          <pic:cNvPicPr>
                            <a:picLocks noChangeAspect="1"/>
                          </pic:cNvPicPr>
                        </pic:nvPicPr>
                        <pic:blipFill>
                          <a:blip r:embed="rId7"/>
                          <a:stretch>
                            <a:fillRect/>
                          </a:stretch>
                        </pic:blipFill>
                        <pic:spPr>
                          <a:xfrm>
                            <a:off x="0" y="0"/>
                            <a:ext cx="2566035" cy="1358265"/>
                          </a:xfrm>
                          <a:prstGeom prst="rect">
                            <a:avLst/>
                          </a:prstGeom>
                        </pic:spPr>
                      </pic:pic>
                    </a:graphicData>
                  </a:graphic>
                </wp:inline>
              </w:drawing>
            </w:r>
          </w:p>
        </w:tc>
        <w:tc>
          <w:tcPr>
            <w:tcW w:w="4270" w:type="dxa"/>
          </w:tcPr>
          <w:p>
            <w:pPr>
              <w:snapToGrid w:val="0"/>
              <w:spacing w:line="360" w:lineRule="auto"/>
              <w:jc w:val="left"/>
              <w:rPr>
                <w:rFonts w:ascii="宋体" w:hAnsi="宋体" w:cs="宋体"/>
                <w:sz w:val="24"/>
              </w:rPr>
            </w:pPr>
            <w:r>
              <w:rPr>
                <w:rFonts w:hint="eastAsia" w:ascii="宋体" w:hAnsi="宋体" w:cs="宋体"/>
                <w:sz w:val="24"/>
              </w:rPr>
              <w:drawing>
                <wp:inline distT="0" distB="0" distL="114300" distR="114300">
                  <wp:extent cx="2572385" cy="1598930"/>
                  <wp:effectExtent l="0" t="0" r="18415" b="1270"/>
                  <wp:docPr id="5" name="图片 5" descr="1705104036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05104036846"/>
                          <pic:cNvPicPr>
                            <a:picLocks noChangeAspect="1"/>
                          </pic:cNvPicPr>
                        </pic:nvPicPr>
                        <pic:blipFill>
                          <a:blip r:embed="rId8"/>
                          <a:stretch>
                            <a:fillRect/>
                          </a:stretch>
                        </pic:blipFill>
                        <pic:spPr>
                          <a:xfrm>
                            <a:off x="0" y="0"/>
                            <a:ext cx="2572385" cy="1598930"/>
                          </a:xfrm>
                          <a:prstGeom prst="rect">
                            <a:avLst/>
                          </a:prstGeom>
                        </pic:spPr>
                      </pic:pic>
                    </a:graphicData>
                  </a:graphic>
                </wp:inline>
              </w:drawing>
            </w:r>
          </w:p>
        </w:tc>
      </w:tr>
      <w:tr>
        <w:tblPrEx>
          <w:tblBorders>
            <w:top w:val="single" w:color="1E4D78" w:sz="12" w:space="0"/>
            <w:left w:val="single" w:color="1E4D78" w:sz="12" w:space="0"/>
            <w:bottom w:val="single" w:color="1E4D78" w:sz="12" w:space="0"/>
            <w:right w:val="single" w:color="1E4D78" w:sz="12" w:space="0"/>
            <w:insideH w:val="dotted" w:color="1E4D78" w:sz="4" w:space="0"/>
            <w:insideV w:val="dotted" w:color="1E4D78" w:sz="4" w:space="0"/>
          </w:tblBorders>
          <w:tblCellMar>
            <w:top w:w="0" w:type="dxa"/>
            <w:left w:w="108" w:type="dxa"/>
            <w:bottom w:w="0" w:type="dxa"/>
            <w:right w:w="108" w:type="dxa"/>
          </w:tblCellMar>
        </w:tblPrEx>
        <w:trPr>
          <w:trHeight w:val="2952" w:hRule="atLeast"/>
        </w:trPr>
        <w:tc>
          <w:tcPr>
            <w:tcW w:w="4270" w:type="dxa"/>
          </w:tcPr>
          <w:p>
            <w:pPr>
              <w:snapToGrid w:val="0"/>
              <w:spacing w:line="360" w:lineRule="auto"/>
              <w:jc w:val="left"/>
              <w:rPr>
                <w:rFonts w:ascii="宋体" w:hAnsi="宋体" w:cs="宋体"/>
                <w:sz w:val="24"/>
              </w:rPr>
            </w:pPr>
            <w:r>
              <w:rPr>
                <w:rFonts w:hint="eastAsia" w:ascii="宋体" w:hAnsi="宋体" w:cs="宋体"/>
                <w:sz w:val="24"/>
              </w:rPr>
              <w:drawing>
                <wp:inline distT="0" distB="0" distL="114300" distR="114300">
                  <wp:extent cx="2571115" cy="1510665"/>
                  <wp:effectExtent l="0" t="0" r="635" b="13335"/>
                  <wp:docPr id="6" name="图片 6" descr="1705104906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05104906566"/>
                          <pic:cNvPicPr>
                            <a:picLocks noChangeAspect="1"/>
                          </pic:cNvPicPr>
                        </pic:nvPicPr>
                        <pic:blipFill>
                          <a:blip r:embed="rId9"/>
                          <a:stretch>
                            <a:fillRect/>
                          </a:stretch>
                        </pic:blipFill>
                        <pic:spPr>
                          <a:xfrm>
                            <a:off x="0" y="0"/>
                            <a:ext cx="2571115" cy="1510665"/>
                          </a:xfrm>
                          <a:prstGeom prst="rect">
                            <a:avLst/>
                          </a:prstGeom>
                        </pic:spPr>
                      </pic:pic>
                    </a:graphicData>
                  </a:graphic>
                </wp:inline>
              </w:drawing>
            </w:r>
          </w:p>
        </w:tc>
        <w:tc>
          <w:tcPr>
            <w:tcW w:w="4270" w:type="dxa"/>
          </w:tcPr>
          <w:p>
            <w:pPr>
              <w:snapToGrid w:val="0"/>
              <w:spacing w:line="360" w:lineRule="auto"/>
              <w:jc w:val="left"/>
              <w:rPr>
                <w:rFonts w:ascii="宋体" w:hAnsi="宋体" w:cs="宋体"/>
                <w:sz w:val="24"/>
              </w:rPr>
            </w:pPr>
            <w:r>
              <w:rPr>
                <w:rFonts w:hint="eastAsia" w:ascii="宋体" w:hAnsi="宋体" w:cs="宋体"/>
                <w:sz w:val="24"/>
              </w:rPr>
              <w:drawing>
                <wp:inline distT="0" distB="0" distL="114300" distR="114300">
                  <wp:extent cx="2572385" cy="1407795"/>
                  <wp:effectExtent l="0" t="0" r="18415" b="1905"/>
                  <wp:docPr id="7" name="图片 7" descr="1705104933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05104933605"/>
                          <pic:cNvPicPr>
                            <a:picLocks noChangeAspect="1"/>
                          </pic:cNvPicPr>
                        </pic:nvPicPr>
                        <pic:blipFill>
                          <a:blip r:embed="rId10"/>
                          <a:stretch>
                            <a:fillRect/>
                          </a:stretch>
                        </pic:blipFill>
                        <pic:spPr>
                          <a:xfrm>
                            <a:off x="0" y="0"/>
                            <a:ext cx="2572385" cy="1407795"/>
                          </a:xfrm>
                          <a:prstGeom prst="rect">
                            <a:avLst/>
                          </a:prstGeom>
                        </pic:spPr>
                      </pic:pic>
                    </a:graphicData>
                  </a:graphic>
                </wp:inline>
              </w:drawing>
            </w:r>
          </w:p>
        </w:tc>
      </w:tr>
    </w:tbl>
    <w:p>
      <w:pPr>
        <w:pStyle w:val="25"/>
        <w:numPr>
          <w:ilvl w:val="0"/>
          <w:numId w:val="2"/>
        </w:numPr>
        <w:snapToGrid w:val="0"/>
        <w:spacing w:line="360" w:lineRule="auto"/>
        <w:ind w:firstLineChars="0"/>
        <w:jc w:val="center"/>
        <w:rPr>
          <w:rFonts w:ascii="宋体" w:hAnsi="宋体" w:cs="宋体"/>
          <w:sz w:val="24"/>
        </w:rPr>
      </w:pPr>
      <w:r>
        <w:rPr>
          <w:rFonts w:hint="eastAsia" w:ascii="宋体" w:hAnsi="宋体" w:cs="宋体"/>
          <w:szCs w:val="21"/>
        </w:rPr>
        <w:t>图B1-8 公司荣誉</w:t>
      </w:r>
    </w:p>
    <w:p/>
    <w:p>
      <w:pPr>
        <w:pStyle w:val="25"/>
        <w:numPr>
          <w:ilvl w:val="0"/>
          <w:numId w:val="3"/>
        </w:numPr>
        <w:ind w:left="771" w:hanging="771" w:hangingChars="240"/>
        <w:outlineLvl w:val="1"/>
        <w:rPr>
          <w:rStyle w:val="21"/>
          <w:rFonts w:ascii="宋体" w:hAnsi="宋体"/>
          <w:b w:val="0"/>
          <w:sz w:val="24"/>
        </w:rPr>
      </w:pPr>
      <w:bookmarkStart w:id="8" w:name="_Toc522175434"/>
      <w:r>
        <w:rPr>
          <w:rStyle w:val="21"/>
          <w:rFonts w:hint="eastAsia"/>
        </w:rPr>
        <w:t>研发团队建立</w:t>
      </w:r>
      <w:bookmarkEnd w:id="8"/>
    </w:p>
    <w:p>
      <w:pPr>
        <w:spacing w:line="480" w:lineRule="exact"/>
        <w:ind w:firstLine="480" w:firstLineChars="200"/>
        <w:rPr>
          <w:rFonts w:hint="eastAsia"/>
          <w:sz w:val="24"/>
          <w:szCs w:val="24"/>
        </w:rPr>
      </w:pPr>
      <w:r>
        <w:rPr>
          <w:rFonts w:hint="eastAsia" w:eastAsiaTheme="minorEastAsia"/>
          <w:sz w:val="24"/>
          <w:szCs w:val="24"/>
        </w:rPr>
        <w:t>目前研发人员达到</w:t>
      </w:r>
      <w:r>
        <w:rPr>
          <w:rFonts w:eastAsiaTheme="minorEastAsia"/>
          <w:sz w:val="24"/>
          <w:szCs w:val="24"/>
        </w:rPr>
        <w:t>22</w:t>
      </w:r>
      <w:r>
        <w:rPr>
          <w:rFonts w:hint="eastAsia" w:eastAsiaTheme="minorEastAsia"/>
          <w:sz w:val="24"/>
          <w:szCs w:val="24"/>
        </w:rPr>
        <w:t>人，中高级职称</w:t>
      </w:r>
      <w:r>
        <w:rPr>
          <w:rFonts w:eastAsiaTheme="minorEastAsia"/>
          <w:sz w:val="24"/>
          <w:szCs w:val="24"/>
        </w:rPr>
        <w:t>4</w:t>
      </w:r>
      <w:r>
        <w:rPr>
          <w:rFonts w:hint="eastAsia" w:eastAsiaTheme="minorEastAsia"/>
          <w:sz w:val="24"/>
          <w:szCs w:val="24"/>
        </w:rPr>
        <w:t>人。全部为大学以上文凭，是一支综合能力强，具有竞争活力的年轻队伍。随着企业的发展，不断提升自身技术水平与业务能力。技术管理方面，公司将质量改进，技术革新与绩效考核挂钩，激发了员工的工作热情，促进了设备改良、工艺改进等技改项目的推进，对于先进的生产管理技术大力推广应用，公司鼓励员工积极使用先进的管理办法，并提供相应的平台对于新进员工进行有效的培训，使其迅速融入团队，使用先进管理办法，对于项目的管理和推进起到积极推动作用，公司对于项目的推进制定相应的计划和时间进度表，并指派专门的人员进行跟踪指导，积极协调，使每个部门的项目能够及时保质保量的完成。</w:t>
      </w:r>
      <w:r>
        <w:rPr>
          <w:sz w:val="24"/>
          <w:szCs w:val="24"/>
        </w:rPr>
        <w:t xml:space="preserve"> </w:t>
      </w:r>
    </w:p>
    <w:p>
      <w:pPr>
        <w:pStyle w:val="5"/>
        <w:numPr>
          <w:ilvl w:val="0"/>
          <w:numId w:val="3"/>
        </w:numPr>
        <w:ind w:left="771" w:hanging="771" w:hangingChars="240"/>
      </w:pPr>
      <w:bookmarkStart w:id="9" w:name="_Toc522175435"/>
      <w:r>
        <w:rPr>
          <w:rFonts w:hint="eastAsia"/>
        </w:rPr>
        <w:t>知识产权工作</w:t>
      </w:r>
      <w:bookmarkEnd w:id="9"/>
    </w:p>
    <w:p>
      <w:pPr>
        <w:ind w:firstLine="480" w:firstLineChars="200"/>
        <w:rPr>
          <w:rFonts w:hint="eastAsia" w:eastAsiaTheme="minorEastAsia"/>
          <w:sz w:val="24"/>
          <w:szCs w:val="24"/>
        </w:rPr>
      </w:pPr>
      <w:r>
        <w:rPr>
          <w:rFonts w:eastAsiaTheme="minorEastAsia"/>
          <w:sz w:val="24"/>
          <w:szCs w:val="24"/>
        </w:rPr>
        <w:t>公司</w:t>
      </w:r>
      <w:r>
        <w:rPr>
          <w:rFonts w:hint="eastAsia" w:eastAsiaTheme="minorEastAsia"/>
          <w:sz w:val="24"/>
          <w:szCs w:val="24"/>
        </w:rPr>
        <w:t>至今累计</w:t>
      </w:r>
      <w:r>
        <w:rPr>
          <w:rFonts w:eastAsiaTheme="minorEastAsia"/>
          <w:sz w:val="24"/>
          <w:szCs w:val="24"/>
        </w:rPr>
        <w:t>拥有有效授权专利20件（发明专利3件，实用新型17件</w:t>
      </w:r>
      <w:r>
        <w:rPr>
          <w:rFonts w:hint="eastAsia" w:eastAsiaTheme="minorEastAsia"/>
          <w:sz w:val="24"/>
          <w:szCs w:val="24"/>
        </w:rPr>
        <w:t>）。</w:t>
      </w:r>
    </w:p>
    <w:tbl>
      <w:tblPr>
        <w:tblStyle w:val="18"/>
        <w:tblW w:w="8480" w:type="dxa"/>
        <w:tblInd w:w="0" w:type="dxa"/>
        <w:tblLayout w:type="autofit"/>
        <w:tblCellMar>
          <w:top w:w="0" w:type="dxa"/>
          <w:left w:w="108" w:type="dxa"/>
          <w:bottom w:w="0" w:type="dxa"/>
          <w:right w:w="108" w:type="dxa"/>
        </w:tblCellMar>
      </w:tblPr>
      <w:tblGrid>
        <w:gridCol w:w="1080"/>
        <w:gridCol w:w="5260"/>
        <w:gridCol w:w="1080"/>
        <w:gridCol w:w="1060"/>
      </w:tblGrid>
      <w:tr>
        <w:tblPrEx>
          <w:tblCellMar>
            <w:top w:w="0" w:type="dxa"/>
            <w:left w:w="108" w:type="dxa"/>
            <w:bottom w:w="0" w:type="dxa"/>
            <w:right w:w="108" w:type="dxa"/>
          </w:tblCellMar>
        </w:tblPrEx>
        <w:trPr>
          <w:trHeight w:val="330" w:hRule="atLeast"/>
        </w:trPr>
        <w:tc>
          <w:tcPr>
            <w:tcW w:w="1080" w:type="dxa"/>
            <w:tcBorders>
              <w:top w:val="single" w:color="ACB9CA" w:sz="4" w:space="0"/>
              <w:left w:val="single" w:color="auto" w:sz="4" w:space="0"/>
              <w:bottom w:val="single" w:color="ACB9CA" w:sz="4" w:space="0"/>
              <w:right w:val="single" w:color="ACB9CA" w:sz="4" w:space="0"/>
            </w:tcBorders>
            <w:shd w:val="clear" w:color="000000" w:fill="DDEBF7"/>
            <w:noWrap/>
            <w:vAlign w:val="center"/>
          </w:tcPr>
          <w:p>
            <w:pPr>
              <w:widowControl/>
              <w:jc w:val="center"/>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1</w:t>
            </w:r>
          </w:p>
        </w:tc>
        <w:tc>
          <w:tcPr>
            <w:tcW w:w="52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一种城市综合管廊钢筋骨架成型工装靠模</w:t>
            </w:r>
          </w:p>
        </w:tc>
        <w:tc>
          <w:tcPr>
            <w:tcW w:w="108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实用新型</w:t>
            </w:r>
          </w:p>
        </w:tc>
        <w:tc>
          <w:tcPr>
            <w:tcW w:w="10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nil"/>
              <w:left w:val="single" w:color="auto" w:sz="4" w:space="0"/>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2</w:t>
            </w:r>
          </w:p>
        </w:tc>
        <w:tc>
          <w:tcPr>
            <w:tcW w:w="52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一种生产预应力混凝土波形板桩的模具</w:t>
            </w:r>
          </w:p>
        </w:tc>
        <w:tc>
          <w:tcPr>
            <w:tcW w:w="108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发明授权</w:t>
            </w:r>
          </w:p>
        </w:tc>
        <w:tc>
          <w:tcPr>
            <w:tcW w:w="10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single" w:color="ACB9CA" w:sz="4" w:space="0"/>
              <w:left w:val="single" w:color="auto"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3</w:t>
            </w:r>
          </w:p>
        </w:tc>
        <w:tc>
          <w:tcPr>
            <w:tcW w:w="52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一种预应力混凝土波形板桩及其制备方法</w:t>
            </w:r>
          </w:p>
        </w:tc>
        <w:tc>
          <w:tcPr>
            <w:tcW w:w="108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发明授权</w:t>
            </w:r>
          </w:p>
        </w:tc>
        <w:tc>
          <w:tcPr>
            <w:tcW w:w="10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nil"/>
              <w:left w:val="single" w:color="auto" w:sz="4" w:space="0"/>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4</w:t>
            </w:r>
          </w:p>
        </w:tc>
        <w:tc>
          <w:tcPr>
            <w:tcW w:w="52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一种保温围护墙</w:t>
            </w:r>
          </w:p>
        </w:tc>
        <w:tc>
          <w:tcPr>
            <w:tcW w:w="108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实用新型</w:t>
            </w:r>
          </w:p>
        </w:tc>
        <w:tc>
          <w:tcPr>
            <w:tcW w:w="10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single" w:color="ACB9CA" w:sz="4" w:space="0"/>
              <w:left w:val="single" w:color="auto"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5</w:t>
            </w:r>
          </w:p>
        </w:tc>
        <w:tc>
          <w:tcPr>
            <w:tcW w:w="52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一种叠合楼板加工设备的运料装置</w:t>
            </w:r>
          </w:p>
        </w:tc>
        <w:tc>
          <w:tcPr>
            <w:tcW w:w="108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实用新型</w:t>
            </w:r>
          </w:p>
        </w:tc>
        <w:tc>
          <w:tcPr>
            <w:tcW w:w="10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nil"/>
              <w:left w:val="single" w:color="auto" w:sz="4" w:space="0"/>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6</w:t>
            </w:r>
          </w:p>
        </w:tc>
        <w:tc>
          <w:tcPr>
            <w:tcW w:w="52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一种叠合楼板的表面打磨装置</w:t>
            </w:r>
          </w:p>
        </w:tc>
        <w:tc>
          <w:tcPr>
            <w:tcW w:w="108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实用新型</w:t>
            </w:r>
          </w:p>
        </w:tc>
        <w:tc>
          <w:tcPr>
            <w:tcW w:w="10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single" w:color="ACB9CA" w:sz="4" w:space="0"/>
              <w:left w:val="single" w:color="auto"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7</w:t>
            </w:r>
          </w:p>
        </w:tc>
        <w:tc>
          <w:tcPr>
            <w:tcW w:w="52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一种环保型围护墙</w:t>
            </w:r>
          </w:p>
        </w:tc>
        <w:tc>
          <w:tcPr>
            <w:tcW w:w="108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实用新型</w:t>
            </w:r>
          </w:p>
        </w:tc>
        <w:tc>
          <w:tcPr>
            <w:tcW w:w="10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nil"/>
              <w:left w:val="single" w:color="auto" w:sz="4" w:space="0"/>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8</w:t>
            </w:r>
          </w:p>
        </w:tc>
        <w:tc>
          <w:tcPr>
            <w:tcW w:w="52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一种便于安装的预制栏板墙</w:t>
            </w:r>
          </w:p>
        </w:tc>
        <w:tc>
          <w:tcPr>
            <w:tcW w:w="108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实用新型</w:t>
            </w:r>
          </w:p>
        </w:tc>
        <w:tc>
          <w:tcPr>
            <w:tcW w:w="10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single" w:color="ACB9CA" w:sz="4" w:space="0"/>
              <w:left w:val="single" w:color="auto"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9</w:t>
            </w:r>
          </w:p>
        </w:tc>
        <w:tc>
          <w:tcPr>
            <w:tcW w:w="52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一种预制楼梯防护装置</w:t>
            </w:r>
          </w:p>
        </w:tc>
        <w:tc>
          <w:tcPr>
            <w:tcW w:w="108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实用新型</w:t>
            </w:r>
          </w:p>
        </w:tc>
        <w:tc>
          <w:tcPr>
            <w:tcW w:w="10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nil"/>
              <w:left w:val="single" w:color="auto" w:sz="4" w:space="0"/>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10</w:t>
            </w:r>
          </w:p>
        </w:tc>
        <w:tc>
          <w:tcPr>
            <w:tcW w:w="52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一种预制外保温型外墙板</w:t>
            </w:r>
          </w:p>
        </w:tc>
        <w:tc>
          <w:tcPr>
            <w:tcW w:w="108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实用新型</w:t>
            </w:r>
          </w:p>
        </w:tc>
        <w:tc>
          <w:tcPr>
            <w:tcW w:w="10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single" w:color="ACB9CA" w:sz="4" w:space="0"/>
              <w:left w:val="single" w:color="auto"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11</w:t>
            </w:r>
          </w:p>
        </w:tc>
        <w:tc>
          <w:tcPr>
            <w:tcW w:w="52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一种便于安装的预制叠合楼板</w:t>
            </w:r>
          </w:p>
        </w:tc>
        <w:tc>
          <w:tcPr>
            <w:tcW w:w="108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实用新型</w:t>
            </w:r>
          </w:p>
        </w:tc>
        <w:tc>
          <w:tcPr>
            <w:tcW w:w="10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nil"/>
              <w:left w:val="single" w:color="auto" w:sz="4" w:space="0"/>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12</w:t>
            </w:r>
          </w:p>
        </w:tc>
        <w:tc>
          <w:tcPr>
            <w:tcW w:w="52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一种便于调取的预制内墙板</w:t>
            </w:r>
          </w:p>
        </w:tc>
        <w:tc>
          <w:tcPr>
            <w:tcW w:w="108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实用新型</w:t>
            </w:r>
          </w:p>
        </w:tc>
        <w:tc>
          <w:tcPr>
            <w:tcW w:w="10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single" w:color="ACB9CA" w:sz="4" w:space="0"/>
              <w:left w:val="single" w:color="auto"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13</w:t>
            </w:r>
          </w:p>
        </w:tc>
        <w:tc>
          <w:tcPr>
            <w:tcW w:w="52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一种预制楼梯吊装固定结构</w:t>
            </w:r>
          </w:p>
        </w:tc>
        <w:tc>
          <w:tcPr>
            <w:tcW w:w="108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实用新型</w:t>
            </w:r>
          </w:p>
        </w:tc>
        <w:tc>
          <w:tcPr>
            <w:tcW w:w="10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nil"/>
              <w:left w:val="single" w:color="auto" w:sz="4" w:space="0"/>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14</w:t>
            </w:r>
          </w:p>
        </w:tc>
        <w:tc>
          <w:tcPr>
            <w:tcW w:w="52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一种保温防水外墙板</w:t>
            </w:r>
          </w:p>
        </w:tc>
        <w:tc>
          <w:tcPr>
            <w:tcW w:w="108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实用新型</w:t>
            </w:r>
          </w:p>
        </w:tc>
        <w:tc>
          <w:tcPr>
            <w:tcW w:w="10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single" w:color="ACB9CA" w:sz="4" w:space="0"/>
              <w:left w:val="single" w:color="auto"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15</w:t>
            </w:r>
          </w:p>
        </w:tc>
        <w:tc>
          <w:tcPr>
            <w:tcW w:w="52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一种可拼装式预制楼梯</w:t>
            </w:r>
          </w:p>
        </w:tc>
        <w:tc>
          <w:tcPr>
            <w:tcW w:w="108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实用新型</w:t>
            </w:r>
          </w:p>
        </w:tc>
        <w:tc>
          <w:tcPr>
            <w:tcW w:w="10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nil"/>
              <w:left w:val="single" w:color="auto" w:sz="4" w:space="0"/>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16</w:t>
            </w:r>
          </w:p>
        </w:tc>
        <w:tc>
          <w:tcPr>
            <w:tcW w:w="52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一种便于固定的预制叠合剪刀墙</w:t>
            </w:r>
          </w:p>
        </w:tc>
        <w:tc>
          <w:tcPr>
            <w:tcW w:w="108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实用新型</w:t>
            </w:r>
          </w:p>
        </w:tc>
        <w:tc>
          <w:tcPr>
            <w:tcW w:w="10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single" w:color="ACB9CA" w:sz="4" w:space="0"/>
              <w:left w:val="single" w:color="auto"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17</w:t>
            </w:r>
          </w:p>
        </w:tc>
        <w:tc>
          <w:tcPr>
            <w:tcW w:w="52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一种地震智分缝耗能减震型钢筋混凝土墙体</w:t>
            </w:r>
          </w:p>
        </w:tc>
        <w:tc>
          <w:tcPr>
            <w:tcW w:w="108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实用新型</w:t>
            </w:r>
          </w:p>
        </w:tc>
        <w:tc>
          <w:tcPr>
            <w:tcW w:w="10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nil"/>
              <w:left w:val="single" w:color="auto" w:sz="4" w:space="0"/>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18</w:t>
            </w:r>
          </w:p>
        </w:tc>
        <w:tc>
          <w:tcPr>
            <w:tcW w:w="52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color w:val="FF0000"/>
                <w:kern w:val="0"/>
                <w:sz w:val="18"/>
                <w:szCs w:val="18"/>
              </w:rPr>
            </w:pPr>
            <w:r>
              <w:rPr>
                <w:rFonts w:hint="eastAsia" w:cs="宋体" w:asciiTheme="minorEastAsia" w:hAnsiTheme="minorEastAsia" w:eastAsiaTheme="minorEastAsia"/>
                <w:kern w:val="0"/>
                <w:sz w:val="18"/>
                <w:szCs w:val="18"/>
              </w:rPr>
              <w:t>一种预制楼梯翻转装置</w:t>
            </w:r>
          </w:p>
        </w:tc>
        <w:tc>
          <w:tcPr>
            <w:tcW w:w="108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实用新型</w:t>
            </w:r>
          </w:p>
        </w:tc>
        <w:tc>
          <w:tcPr>
            <w:tcW w:w="10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single" w:color="ACB9CA" w:sz="4" w:space="0"/>
              <w:left w:val="single" w:color="auto"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19</w:t>
            </w:r>
          </w:p>
        </w:tc>
        <w:tc>
          <w:tcPr>
            <w:tcW w:w="52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一种地震智分缝耗能减震型钢筋混凝土墙体</w:t>
            </w:r>
          </w:p>
        </w:tc>
        <w:tc>
          <w:tcPr>
            <w:tcW w:w="108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实用新型</w:t>
            </w:r>
          </w:p>
        </w:tc>
        <w:tc>
          <w:tcPr>
            <w:tcW w:w="1060" w:type="dxa"/>
            <w:tcBorders>
              <w:top w:val="single" w:color="ACB9CA" w:sz="4" w:space="0"/>
              <w:left w:val="single" w:color="ACB9CA" w:sz="4" w:space="0"/>
              <w:bottom w:val="single" w:color="ACB9CA" w:sz="4" w:space="0"/>
              <w:right w:val="single" w:color="ACB9CA" w:sz="4" w:space="0"/>
            </w:tcBorders>
            <w:shd w:val="clear" w:color="000000" w:fill="DDEBF7"/>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r>
        <w:tblPrEx>
          <w:tblCellMar>
            <w:top w:w="0" w:type="dxa"/>
            <w:left w:w="108" w:type="dxa"/>
            <w:bottom w:w="0" w:type="dxa"/>
            <w:right w:w="108" w:type="dxa"/>
          </w:tblCellMar>
        </w:tblPrEx>
        <w:trPr>
          <w:trHeight w:val="330" w:hRule="atLeast"/>
        </w:trPr>
        <w:tc>
          <w:tcPr>
            <w:tcW w:w="1080" w:type="dxa"/>
            <w:tcBorders>
              <w:top w:val="nil"/>
              <w:left w:val="single" w:color="ACB9CA" w:sz="4" w:space="0"/>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xml:space="preserve">20 </w:t>
            </w:r>
          </w:p>
        </w:tc>
        <w:tc>
          <w:tcPr>
            <w:tcW w:w="52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一种预制装配式框架结构及其装配方法</w:t>
            </w:r>
          </w:p>
        </w:tc>
        <w:tc>
          <w:tcPr>
            <w:tcW w:w="108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发明授权</w:t>
            </w:r>
          </w:p>
        </w:tc>
        <w:tc>
          <w:tcPr>
            <w:tcW w:w="1060" w:type="dxa"/>
            <w:tcBorders>
              <w:top w:val="nil"/>
              <w:left w:val="nil"/>
              <w:bottom w:val="single" w:color="ACB9CA" w:sz="4" w:space="0"/>
              <w:right w:val="single" w:color="ACB9CA" w:sz="4" w:space="0"/>
            </w:tcBorders>
            <w:shd w:val="clear" w:color="auto" w:fill="auto"/>
            <w:noWrap/>
            <w:vAlign w:val="center"/>
          </w:tcPr>
          <w:p>
            <w:pPr>
              <w:widowControl/>
              <w:jc w:val="center"/>
              <w:rPr>
                <w:rFonts w:hint="eastAsia"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授权</w:t>
            </w:r>
          </w:p>
        </w:tc>
      </w:tr>
    </w:tbl>
    <w:p>
      <w:pPr>
        <w:pStyle w:val="4"/>
      </w:pPr>
      <w:bookmarkStart w:id="10" w:name="_Toc522175436"/>
      <w:r>
        <w:rPr>
          <w:rFonts w:hint="eastAsia"/>
        </w:rPr>
        <w:t>五、信用建设</w:t>
      </w:r>
      <w:bookmarkEnd w:id="10"/>
    </w:p>
    <w:p>
      <w:pPr>
        <w:autoSpaceDN w:val="0"/>
        <w:spacing w:before="150" w:after="150" w:line="378" w:lineRule="atLeast"/>
        <w:ind w:firstLine="420"/>
        <w:rPr>
          <w:rFonts w:ascii="宋体" w:hAnsi="宋体"/>
          <w:sz w:val="24"/>
        </w:rPr>
      </w:pPr>
      <w:r>
        <w:rPr>
          <w:rFonts w:hint="eastAsia" w:ascii="宋体" w:hAnsi="宋体"/>
          <w:sz w:val="24"/>
        </w:rPr>
        <w:t>公司一直将信用管理工作作为公司日常管理的一项重要工作内容坚持开展，在市场经济日益发达的现代社会，我们深知“守合同重信用”是企业生存发展之本，企业的信用资质已成为企业在市场竞争中不可或缺的重要标签。公司始终坚持以诚为本，以信迎客，得到了广大客户的积极评价和充分信赖。公司企业资信等级AA。荣获“江苏省信用贯标企业”荣誉称号。</w:t>
      </w:r>
    </w:p>
    <w:p>
      <w:pPr>
        <w:pStyle w:val="4"/>
      </w:pPr>
      <w:bookmarkStart w:id="11" w:name="_Toc522175437"/>
      <w:r>
        <w:rPr>
          <w:rFonts w:hint="eastAsia"/>
        </w:rPr>
        <w:t>六、环保节约</w:t>
      </w:r>
      <w:bookmarkEnd w:id="11"/>
    </w:p>
    <w:p>
      <w:pPr>
        <w:pStyle w:val="5"/>
      </w:pPr>
      <w:bookmarkStart w:id="12" w:name="_Toc522175438"/>
      <w:r>
        <w:rPr>
          <w:rFonts w:hint="eastAsia"/>
        </w:rPr>
        <w:t>1、环境管理</w:t>
      </w:r>
      <w:bookmarkEnd w:id="12"/>
    </w:p>
    <w:p>
      <w:pPr>
        <w:autoSpaceDN w:val="0"/>
        <w:spacing w:before="150" w:after="150" w:line="378" w:lineRule="atLeast"/>
        <w:ind w:firstLine="480" w:firstLineChars="200"/>
        <w:rPr>
          <w:rFonts w:ascii="宋体" w:hAnsi="宋体"/>
          <w:sz w:val="24"/>
        </w:rPr>
      </w:pPr>
      <w:r>
        <w:rPr>
          <w:rFonts w:hint="eastAsia" w:ascii="宋体" w:hAnsi="宋体"/>
          <w:sz w:val="24"/>
        </w:rPr>
        <w:t>公司于通过了ISO14000环境管理体系认证，和ISO28001职业健康安全管理体系增强了环境管理和员工职业健康安全的管理能力。建立专门的管理机构，健全完善环境管理制度并纳入正常管理，记录环保设施的运行数据并建立环保档案。建立和完善环境污染事故应急预案，并定期组织演练。加强生产技术和设备管理，充分利用好各种资源、能源，提高原料、能源利用率，不产生或少产生废弃物。凡是通过检修、更换设备能够解决污染问题的，要及时停产检修、更换设备。对重要环境因素和不可接收危险源点进行重点管控，遵纪守法，全年无安全、环保事故的发生。</w:t>
      </w:r>
    </w:p>
    <w:p>
      <w:pPr>
        <w:pStyle w:val="5"/>
      </w:pPr>
      <w:bookmarkStart w:id="13" w:name="_Toc522175439"/>
      <w:r>
        <w:rPr>
          <w:rFonts w:hint="eastAsia"/>
        </w:rPr>
        <w:t>2、资源节约与综合利用</w:t>
      </w:r>
      <w:bookmarkEnd w:id="13"/>
    </w:p>
    <w:p>
      <w:pPr>
        <w:spacing w:line="360" w:lineRule="auto"/>
        <w:ind w:firstLine="480" w:firstLineChars="200"/>
        <w:rPr>
          <w:rFonts w:ascii="宋体" w:hAnsi="宋体"/>
          <w:sz w:val="24"/>
        </w:rPr>
      </w:pPr>
      <w:r>
        <w:rPr>
          <w:rFonts w:hint="eastAsia" w:ascii="宋体" w:hAnsi="宋体"/>
          <w:sz w:val="24"/>
        </w:rPr>
        <w:t>公司坚决杜绝资源浪费现象。公司也不断改进生产和加工工艺，全员推进QC小组降本节耗活动，在提高生产效率的同时减少能源损耗，公司对供应商进行考核，优先采购通过环境管理体系认证的供方提供的物料，优先采购绿色物料，履行环保社会责任。</w:t>
      </w:r>
    </w:p>
    <w:p>
      <w:pPr>
        <w:pStyle w:val="5"/>
      </w:pPr>
      <w:r>
        <w:t>3</w:t>
      </w:r>
      <w:r>
        <w:rPr>
          <w:rFonts w:hint="eastAsia"/>
        </w:rPr>
        <w:t>、节能减排</w:t>
      </w:r>
    </w:p>
    <w:p>
      <w:pPr>
        <w:spacing w:line="360" w:lineRule="auto"/>
        <w:ind w:firstLine="480" w:firstLineChars="200"/>
        <w:rPr>
          <w:rFonts w:ascii="宋体" w:hAnsi="宋体"/>
          <w:sz w:val="24"/>
        </w:rPr>
      </w:pPr>
      <w:r>
        <w:rPr>
          <w:rFonts w:hint="eastAsia" w:ascii="宋体" w:hAnsi="宋体"/>
          <w:sz w:val="24"/>
        </w:rPr>
        <w:t>“节能降耗、提质高效”是公司节能生产的基本理念。公司在建设初期就对公司的能源利用工作从战略的高度进行布局,成立能源管理部门，全面系统的管理公司的能源事项。</w:t>
      </w:r>
    </w:p>
    <w:p>
      <w:pPr>
        <w:spacing w:line="360" w:lineRule="auto"/>
        <w:ind w:firstLine="480" w:firstLineChars="200"/>
        <w:rPr>
          <w:rFonts w:ascii="宋体" w:hAnsi="宋体"/>
          <w:sz w:val="24"/>
        </w:rPr>
      </w:pPr>
      <w:r>
        <w:rPr>
          <w:rFonts w:hint="eastAsia" w:ascii="宋体" w:hAnsi="宋体"/>
          <w:sz w:val="24"/>
        </w:rPr>
        <w:t>公司严格按照 GB 17167-2006《用能单位能源计量器具配备和管理通则》的要规定配备能源计量器具，并着手202</w:t>
      </w:r>
      <w:r>
        <w:rPr>
          <w:rFonts w:hint="eastAsia" w:ascii="宋体" w:hAnsi="宋体"/>
          <w:sz w:val="24"/>
          <w:lang w:val="en-US" w:eastAsia="zh-CN"/>
        </w:rPr>
        <w:t>4</w:t>
      </w:r>
      <w:r>
        <w:rPr>
          <w:rFonts w:hint="eastAsia" w:ascii="宋体" w:hAnsi="宋体"/>
          <w:sz w:val="24"/>
        </w:rPr>
        <w:t>年完成建立能源计量体系。</w:t>
      </w:r>
    </w:p>
    <w:p>
      <w:pPr>
        <w:spacing w:line="360" w:lineRule="auto"/>
        <w:ind w:firstLine="480" w:firstLineChars="200"/>
        <w:rPr>
          <w:rFonts w:ascii="宋体" w:hAnsi="宋体"/>
          <w:sz w:val="24"/>
        </w:rPr>
      </w:pPr>
      <w:r>
        <w:rPr>
          <w:rFonts w:hint="eastAsia" w:ascii="宋体" w:hAnsi="宋体"/>
          <w:sz w:val="24"/>
        </w:rPr>
        <w:t>公司高度重视节能减排工作，结合自身发展实际从流程优化、节能减排、淘汰落后产能、应用先进技术入手，将资源综合利用、节能降耗放在首位，按照“治理源头、监督过程、综合利用、末端治理”的思路，大力建设资源节约型、环境友好型、持续发展型的新工厂。</w:t>
      </w:r>
    </w:p>
    <w:p>
      <w:pPr>
        <w:pStyle w:val="4"/>
      </w:pPr>
      <w:bookmarkStart w:id="14" w:name="_Toc522175440"/>
      <w:r>
        <w:rPr>
          <w:rFonts w:hint="eastAsia"/>
        </w:rPr>
        <w:t>七、安全生产</w:t>
      </w:r>
      <w:bookmarkEnd w:id="14"/>
    </w:p>
    <w:p>
      <w:pPr>
        <w:pStyle w:val="5"/>
      </w:pPr>
      <w:bookmarkStart w:id="15" w:name="_Toc522175441"/>
      <w:r>
        <w:rPr>
          <w:rFonts w:hint="eastAsia"/>
        </w:rPr>
        <w:t>1、安全生产管理</w:t>
      </w:r>
      <w:bookmarkEnd w:id="15"/>
    </w:p>
    <w:p>
      <w:pPr>
        <w:spacing w:line="360" w:lineRule="auto"/>
        <w:ind w:firstLine="480" w:firstLineChars="200"/>
        <w:rPr>
          <w:rFonts w:hint="eastAsia" w:ascii="宋体" w:hAnsi="宋体" w:eastAsia="宋体"/>
          <w:sz w:val="24"/>
          <w:lang w:eastAsia="zh-CN"/>
        </w:rPr>
      </w:pPr>
      <w:r>
        <w:rPr>
          <w:rFonts w:hint="eastAsia" w:ascii="宋体" w:hAnsi="宋体"/>
          <w:sz w:val="24"/>
        </w:rPr>
        <w:t>公司本着“安全第一，预防为主”的安全生产方针。逐步推行现代安全管理，重视员工在作业中的安全和健康，成立有公司安全生产领导小组、明确有安全归口管理部门、配备有专兼职安全管理人员，安全生产管理网络健全，制定有各级安全生产责任制、安全生产管理制度，职能部门职责明确</w:t>
      </w:r>
      <w:r>
        <w:rPr>
          <w:rFonts w:hint="eastAsia" w:ascii="宋体" w:hAnsi="宋体"/>
          <w:sz w:val="24"/>
          <w:lang w:eastAsia="zh-CN"/>
        </w:rPr>
        <w:t>。</w:t>
      </w:r>
    </w:p>
    <w:p>
      <w:pPr>
        <w:pStyle w:val="5"/>
      </w:pPr>
      <w:bookmarkStart w:id="16" w:name="_Toc522175442"/>
      <w:r>
        <w:rPr>
          <w:rFonts w:hint="eastAsia"/>
        </w:rPr>
        <w:t>2、安全生产投入</w:t>
      </w:r>
      <w:bookmarkEnd w:id="16"/>
    </w:p>
    <w:p>
      <w:pPr>
        <w:autoSpaceDN w:val="0"/>
        <w:spacing w:before="150" w:after="150" w:line="378" w:lineRule="atLeast"/>
        <w:ind w:firstLine="420"/>
        <w:rPr>
          <w:rFonts w:ascii="宋体" w:hAnsi="宋体"/>
          <w:sz w:val="24"/>
        </w:rPr>
      </w:pPr>
      <w:r>
        <w:rPr>
          <w:rFonts w:hint="eastAsia" w:ascii="宋体" w:hAnsi="宋体"/>
          <w:sz w:val="24"/>
        </w:rPr>
        <w:t>公司根据国家法律法规要求制定并严格执行安全生产预算，制定应急预案并进行演练，组织实施安全改善项目。每年投入资金为员工提供所需要的安全资源，包括个人防护设备、劳动防护用品等，以预防职业伤害、疾病和事故，以及紧急情况处理。按着“加强管控、防范盗窃、人车分离”安全防范要求，实施“安全技防项目”，为保护企业财产安全、保护员工切身利益，维护企业正常经营管理秩序提供了技术保障，提升了企业安全管理水平。</w:t>
      </w:r>
    </w:p>
    <w:p>
      <w:pPr>
        <w:pStyle w:val="5"/>
      </w:pPr>
      <w:bookmarkStart w:id="17" w:name="_Toc522175443"/>
      <w:r>
        <w:rPr>
          <w:rFonts w:hint="eastAsia"/>
        </w:rPr>
        <w:t>3、安全生产教育和培训</w:t>
      </w:r>
      <w:bookmarkEnd w:id="17"/>
    </w:p>
    <w:p>
      <w:pPr>
        <w:autoSpaceDN w:val="0"/>
        <w:spacing w:before="150" w:after="150" w:line="378" w:lineRule="atLeast"/>
        <w:ind w:firstLine="480" w:firstLineChars="200"/>
        <w:rPr>
          <w:rFonts w:ascii="宋体" w:hAnsi="宋体"/>
          <w:sz w:val="24"/>
        </w:rPr>
      </w:pPr>
      <w:r>
        <w:rPr>
          <w:rFonts w:hint="eastAsia" w:ascii="宋体" w:hAnsi="宋体"/>
          <w:sz w:val="24"/>
        </w:rPr>
        <w:t>员工是企业最宝贵的财富，企业的发展离不开员工，我公司一直以来都把安全生产、职工劳动保护工作当作一切工作中的重中之重，切实维护职工的生命安全和职业健康。为进一步加强企业安全工作，营造“安全管理，人人有责”的良好氛围，树立安全为天的思想意识，20</w:t>
      </w:r>
      <w:r>
        <w:rPr>
          <w:rFonts w:hint="eastAsia" w:ascii="宋体" w:hAnsi="宋体"/>
          <w:sz w:val="24"/>
          <w:lang w:val="en-US" w:eastAsia="zh-CN"/>
        </w:rPr>
        <w:t>23</w:t>
      </w:r>
      <w:r>
        <w:rPr>
          <w:rFonts w:hint="eastAsia" w:ascii="宋体" w:hAnsi="宋体"/>
          <w:sz w:val="24"/>
        </w:rPr>
        <w:t>年6月，公司工会联合相关部门举行了20</w:t>
      </w:r>
      <w:r>
        <w:rPr>
          <w:rFonts w:hint="eastAsia" w:ascii="宋体" w:hAnsi="宋体"/>
          <w:sz w:val="24"/>
          <w:lang w:val="en-US" w:eastAsia="zh-CN"/>
        </w:rPr>
        <w:t>23</w:t>
      </w:r>
      <w:r>
        <w:rPr>
          <w:rFonts w:hint="eastAsia" w:ascii="宋体" w:hAnsi="宋体"/>
          <w:sz w:val="24"/>
        </w:rPr>
        <w:t>年“安全生产月”活动启动仪式，结合安全生产月</w:t>
      </w:r>
      <w:r>
        <w:rPr>
          <w:rFonts w:hint="eastAsia" w:ascii="宋体" w:hAnsi="宋体"/>
          <w:sz w:val="24"/>
          <w:lang w:val="en-US" w:eastAsia="zh-CN"/>
        </w:rPr>
        <w:t>开展</w:t>
      </w:r>
      <w:r>
        <w:rPr>
          <w:rFonts w:hint="eastAsia" w:ascii="宋体" w:hAnsi="宋体"/>
          <w:sz w:val="24"/>
        </w:rPr>
        <w:t>安全知识教育、考核评比活动，推动公司安全生产工作再上新台阶。此次活动坚持“安全隐患排查与治理”工作为主线，不断夯实安全基础，深入开展隐患排查治理和安全督查工作，宣传安全生产方针政策，结合公司开展的“优质优价”、“五大员”、“有效性计划管理”等活动，合理部署、整体推进，使安全生产管理深入人心，进一步提高全体干部职工的安全意识和责任意识，形成“安全生产，以人为本”的共识。</w:t>
      </w:r>
    </w:p>
    <w:p>
      <w:pPr>
        <w:pStyle w:val="4"/>
      </w:pPr>
      <w:bookmarkStart w:id="18" w:name="_Toc522175444"/>
      <w:r>
        <w:rPr>
          <w:rFonts w:hint="eastAsia"/>
        </w:rPr>
        <w:t>八、员工</w:t>
      </w:r>
      <w:bookmarkEnd w:id="18"/>
    </w:p>
    <w:p>
      <w:pPr>
        <w:pStyle w:val="5"/>
      </w:pPr>
      <w:bookmarkStart w:id="19" w:name="_Toc522175445"/>
      <w:r>
        <w:rPr>
          <w:rFonts w:hint="eastAsia"/>
        </w:rPr>
        <w:t>1、劳动合同与薪酬</w:t>
      </w:r>
      <w:bookmarkEnd w:id="19"/>
    </w:p>
    <w:p>
      <w:pPr>
        <w:autoSpaceDN w:val="0"/>
        <w:spacing w:before="150" w:after="150" w:line="378" w:lineRule="atLeast"/>
        <w:ind w:firstLine="420"/>
        <w:rPr>
          <w:rFonts w:ascii="宋体" w:hAnsi="宋体"/>
          <w:sz w:val="24"/>
        </w:rPr>
      </w:pPr>
      <w:r>
        <w:rPr>
          <w:rFonts w:hint="eastAsia" w:ascii="宋体" w:hAnsi="宋体"/>
          <w:sz w:val="24"/>
        </w:rPr>
        <w:t>公司严格遵守、全面贯彻《中华人民共和国劳动合同法》等法律法规，遵循合法、公平、平等自愿的原则与员工签订书面劳动合同，依法进行劳动合同的履行、变更、解除和终止。劳动合同签约率 100%。公司制定公平合理的薪酬制度，按时足额支付员工薪酬。遵循企业经营效益与员工收入同步提升的原则，根据企业年度经营目标，结合本市颁布的工资增长指导线，比照同行业人工成本和劳动力市场工资指导价位，确定年度平均工资增长幅度。因生产经营需要，安排加班需征得员工同意，按国家劳动法律法规支付相关报酬。</w:t>
      </w:r>
    </w:p>
    <w:p>
      <w:pPr>
        <w:pStyle w:val="5"/>
      </w:pPr>
      <w:bookmarkStart w:id="20" w:name="_Toc522175446"/>
      <w:r>
        <w:rPr>
          <w:rFonts w:hint="eastAsia"/>
        </w:rPr>
        <w:t>2、社会保障</w:t>
      </w:r>
      <w:bookmarkEnd w:id="20"/>
    </w:p>
    <w:p>
      <w:pPr>
        <w:autoSpaceDN w:val="0"/>
        <w:spacing w:before="150" w:after="150" w:line="378" w:lineRule="atLeast"/>
        <w:ind w:firstLine="420"/>
        <w:rPr>
          <w:rFonts w:ascii="宋体" w:hAnsi="宋体"/>
          <w:sz w:val="24"/>
        </w:rPr>
      </w:pPr>
      <w:r>
        <w:rPr>
          <w:rFonts w:hint="eastAsia" w:ascii="宋体" w:hAnsi="宋体"/>
          <w:sz w:val="24"/>
        </w:rPr>
        <w:t>公司依法为员工按时足额缴纳养老金、失业保险金、医疗保险金等社会保险。</w:t>
      </w:r>
    </w:p>
    <w:p>
      <w:pPr>
        <w:pStyle w:val="5"/>
      </w:pPr>
      <w:bookmarkStart w:id="21" w:name="_Toc522175447"/>
      <w:r>
        <w:rPr>
          <w:rFonts w:hint="eastAsia"/>
        </w:rPr>
        <w:t>3、员工福利</w:t>
      </w:r>
      <w:bookmarkEnd w:id="21"/>
    </w:p>
    <w:p>
      <w:pPr>
        <w:autoSpaceDN w:val="0"/>
        <w:spacing w:before="150" w:after="150" w:line="378" w:lineRule="atLeast"/>
        <w:ind w:firstLine="420"/>
        <w:rPr>
          <w:rFonts w:ascii="宋体" w:hAnsi="宋体"/>
          <w:sz w:val="24"/>
        </w:rPr>
      </w:pPr>
      <w:r>
        <w:rPr>
          <w:rFonts w:hint="eastAsia" w:ascii="宋体" w:hAnsi="宋体"/>
          <w:sz w:val="24"/>
        </w:rPr>
        <w:t>为丰富员工的业余生活，公司也组织策划了各类型活动</w:t>
      </w:r>
      <w:r>
        <w:rPr>
          <w:rFonts w:hint="eastAsia" w:ascii="宋体" w:hAnsi="宋体"/>
          <w:sz w:val="24"/>
          <w:lang w:eastAsia="zh-CN"/>
        </w:rPr>
        <w:t>。</w:t>
      </w:r>
      <w:r>
        <w:rPr>
          <w:rFonts w:hint="eastAsia" w:ascii="宋体" w:hAnsi="宋体"/>
          <w:sz w:val="24"/>
        </w:rPr>
        <w:t>活跃和丰富了员工业余生活，激发了员工学习热情，增强了大家的凝聚力，在公司形成了良好的学习氛围。</w:t>
      </w:r>
    </w:p>
    <w:p>
      <w:pPr>
        <w:autoSpaceDN w:val="0"/>
        <w:spacing w:before="150" w:after="150" w:line="378" w:lineRule="atLeast"/>
        <w:ind w:firstLine="420"/>
        <w:rPr>
          <w:rFonts w:ascii="宋体" w:hAnsi="宋体"/>
          <w:sz w:val="24"/>
        </w:rPr>
      </w:pPr>
      <w:r>
        <w:rPr>
          <w:rFonts w:hint="eastAsia" w:ascii="宋体" w:hAnsi="宋体"/>
          <w:sz w:val="24"/>
        </w:rPr>
        <w:t>对员工的责任是让全体员工安全、健康、快乐、富有。体现的是“家”文化。公司工会更是以关心员工生活，为群众办好事实事为已任，工会委员把关心做到“家”。公司工会每年会拿出一部分资金慰问在职和已退休的困难员工，认真了解员工的实际工作状况和所思所想所求，为员工排忧解难。为了更好地服务于职工，公司工会积极组织策划了一系列专题活动。公司每年都会不定期以这种形式宴请先进班组、先进员工；让“</w:t>
      </w:r>
      <w:r>
        <w:rPr>
          <w:rFonts w:hint="eastAsia" w:ascii="宋体" w:hAnsi="宋体"/>
          <w:sz w:val="24"/>
          <w:lang w:val="en-US" w:eastAsia="zh-CN"/>
        </w:rPr>
        <w:t>诚意</w:t>
      </w:r>
      <w:r>
        <w:rPr>
          <w:rFonts w:hint="eastAsia" w:ascii="宋体" w:hAnsi="宋体"/>
          <w:sz w:val="24"/>
        </w:rPr>
        <w:t>家文化”的观念深入员工心中。通过先进集体、先进个人和工会积极分子的评选表彰活动，宣传员工的优秀事迹，弘扬员工身上所体现的企业精神，并通过精神、理念、传统等无形的因素，陶冶员工的情操，培养员工群体意识和良好的共同习俗和道德风尚。</w:t>
      </w:r>
    </w:p>
    <w:p>
      <w:pPr>
        <w:pStyle w:val="5"/>
      </w:pPr>
      <w:bookmarkStart w:id="22" w:name="_Toc522175448"/>
      <w:r>
        <w:rPr>
          <w:rFonts w:hint="eastAsia"/>
        </w:rPr>
        <w:t>4、职业健康安全</w:t>
      </w:r>
      <w:bookmarkEnd w:id="22"/>
    </w:p>
    <w:p>
      <w:pPr>
        <w:autoSpaceDN w:val="0"/>
        <w:spacing w:before="150" w:after="150" w:line="378" w:lineRule="atLeast"/>
        <w:ind w:firstLine="420"/>
        <w:rPr>
          <w:rFonts w:ascii="宋体" w:hAnsi="宋体"/>
          <w:sz w:val="24"/>
        </w:rPr>
      </w:pPr>
      <w:r>
        <w:rPr>
          <w:rFonts w:hint="eastAsia" w:ascii="宋体" w:hAnsi="宋体"/>
          <w:sz w:val="24"/>
        </w:rPr>
        <w:t>关注员工身心健康，进行全员健康普查。公司每年一次为员工进行健康普查，为女员工进行妇科检查。建立了员工健康电子档案。与此同时，积极开展职业健康宣传，利用发布预防疾病的信息和知识等综合手段，关心员工健康，减少疾病危害。</w:t>
      </w:r>
    </w:p>
    <w:p>
      <w:pPr>
        <w:pStyle w:val="5"/>
      </w:pPr>
      <w:bookmarkStart w:id="23" w:name="_Toc522175449"/>
      <w:r>
        <w:rPr>
          <w:rFonts w:hint="eastAsia"/>
        </w:rPr>
        <w:t>5、民主管理</w:t>
      </w:r>
      <w:bookmarkEnd w:id="23"/>
    </w:p>
    <w:p>
      <w:pPr>
        <w:autoSpaceDN w:val="0"/>
        <w:spacing w:before="150" w:after="150" w:line="378" w:lineRule="atLeast"/>
        <w:ind w:firstLine="420"/>
        <w:rPr>
          <w:rFonts w:ascii="宋体" w:hAnsi="宋体"/>
          <w:sz w:val="24"/>
        </w:rPr>
      </w:pPr>
      <w:r>
        <w:rPr>
          <w:rFonts w:hint="eastAsia" w:ascii="宋体" w:hAnsi="宋体"/>
          <w:sz w:val="24"/>
        </w:rPr>
        <w:t>公司依法建立健全工会组织，维护员工权益。支持工会依法开展各项活动，定期和工会沟通，积极回应工会及其代表所投送的报告、建议及意见书等。工会主席参与涉及员工切身利益的规章制度的编制和讨论，并通过员工（代表）大会等途径审议确定。建立工资集体协商机制，针对相关的重大事项，如：工资调整机制、奖励性工资、加班工资、最低工资水平等进行平等协商；在各项涉及到员工利益的改革措施出台前，坚持召开员工代表大会以投票表决的形式予以通过后实施。公司全力支持员工参加工会，鼓励员工多途径参与民主管理。如：职代会制度，领导干部民主评议等。公司成立由党支部、工会和员工代表三方组成的劳动纠纷调解委员会，建立劳动纠纷调解的处理程序。</w:t>
      </w:r>
    </w:p>
    <w:p>
      <w:pPr>
        <w:pStyle w:val="5"/>
      </w:pPr>
      <w:bookmarkStart w:id="24" w:name="_Toc522175450"/>
      <w:r>
        <w:rPr>
          <w:rFonts w:hint="eastAsia"/>
        </w:rPr>
        <w:t>6、员工培训和发展</w:t>
      </w:r>
      <w:bookmarkEnd w:id="24"/>
    </w:p>
    <w:p>
      <w:pPr>
        <w:autoSpaceDN w:val="0"/>
        <w:spacing w:before="150" w:after="150" w:line="378" w:lineRule="atLeast"/>
        <w:ind w:firstLine="480" w:firstLineChars="200"/>
        <w:rPr>
          <w:rFonts w:ascii="宋体" w:hAnsi="宋体"/>
          <w:sz w:val="24"/>
        </w:rPr>
      </w:pPr>
      <w:r>
        <w:rPr>
          <w:rFonts w:hint="eastAsia" w:ascii="宋体" w:hAnsi="宋体"/>
          <w:sz w:val="24"/>
        </w:rPr>
        <w:t>开展全方位、多层次、系统性的教育培训。公司将培训内容分为学历培训、入职培训、专业培训、管理培训四种，将培训形式分为公开课、内部培训、内训、培训项目四种。公司实施个性化的员工学习与发展计划。针对管理员工，每年资助优秀员工进行学历培训。针对专业技术人员，邀请国际国内技术专家举办专题讲座，每年技术研究报告会等形式，将知识和经验进行传承。针对制造现场人员，对不同的职位开展一系列活动和培训，如上岗培训、班长培训、岗位技能培训、学历培训等等。</w:t>
      </w:r>
    </w:p>
    <w:p>
      <w:pPr>
        <w:pStyle w:val="4"/>
        <w:rPr>
          <w:rFonts w:ascii="宋体" w:hAnsi="宋体"/>
          <w:b/>
          <w:sz w:val="24"/>
        </w:rPr>
      </w:pPr>
      <w:bookmarkStart w:id="25" w:name="_Toc522175451"/>
      <w:r>
        <w:rPr>
          <w:rFonts w:hint="eastAsia"/>
        </w:rPr>
        <w:t>九、社会责任</w:t>
      </w:r>
      <w:bookmarkEnd w:id="25"/>
    </w:p>
    <w:p>
      <w:pPr>
        <w:spacing w:line="360" w:lineRule="auto"/>
        <w:ind w:firstLine="480" w:firstLineChars="200"/>
        <w:rPr>
          <w:rFonts w:ascii="宋体" w:hAnsi="宋体"/>
          <w:sz w:val="24"/>
        </w:rPr>
      </w:pPr>
      <w:r>
        <w:rPr>
          <w:rFonts w:hint="eastAsia" w:ascii="宋体" w:hAnsi="宋体"/>
          <w:sz w:val="24"/>
        </w:rPr>
        <w:t>一个卓越企业既要考虑当前利益，更重要的是着眼长远可持续发展。而长远发展和持续经营，离不开社会的协同、和谐与发展。认真履行社会责任是不可小视的重要内容。</w:t>
      </w:r>
      <w:r>
        <w:rPr>
          <w:rFonts w:hint="eastAsia" w:ascii="宋体" w:hAnsi="宋体"/>
          <w:sz w:val="24"/>
          <w:lang w:val="en-US" w:eastAsia="zh-CN"/>
        </w:rPr>
        <w:t>诚意住工</w:t>
      </w:r>
      <w:r>
        <w:rPr>
          <w:rFonts w:hint="eastAsia" w:ascii="宋体" w:hAnsi="宋体"/>
          <w:sz w:val="24"/>
        </w:rPr>
        <w:t>在追求经济效益、保护投资方利益、不断发展的同时，积极履行公共责任及恪守道德规范，保护职工的合法权益，诚信对待供应商、客户，做到以公司的健康发展实现投资方、员工收益同步成长，让客户满意、社会放心，从而促进公司与社会的协调、和谐发展。</w:t>
      </w:r>
    </w:p>
    <w:p>
      <w:pPr>
        <w:spacing w:line="360" w:lineRule="auto"/>
        <w:ind w:firstLine="480" w:firstLineChars="200"/>
        <w:rPr>
          <w:rFonts w:ascii="宋体" w:hAnsi="宋体"/>
          <w:sz w:val="24"/>
        </w:rPr>
      </w:pPr>
      <w:r>
        <w:rPr>
          <w:rFonts w:hint="eastAsia" w:ascii="宋体" w:hAnsi="宋体"/>
          <w:sz w:val="24"/>
        </w:rPr>
        <w:t>承担的社会责任包括：公共责任、道德规范和自愿开展的公益支持三部分。</w:t>
      </w:r>
    </w:p>
    <w:p>
      <w:pPr>
        <w:spacing w:line="360" w:lineRule="auto"/>
        <w:outlineLvl w:val="1"/>
        <w:rPr>
          <w:rFonts w:ascii="宋体" w:hAnsi="宋体"/>
          <w:b/>
        </w:rPr>
      </w:pPr>
      <w:bookmarkStart w:id="26" w:name="_Toc522175453"/>
      <w:r>
        <w:rPr>
          <w:rFonts w:hint="eastAsia" w:ascii="宋体" w:hAnsi="宋体"/>
          <w:b/>
          <w:sz w:val="24"/>
        </w:rPr>
        <w:t>1、公共责任</w:t>
      </w:r>
      <w:bookmarkEnd w:id="26"/>
    </w:p>
    <w:p>
      <w:pPr>
        <w:spacing w:line="360" w:lineRule="auto"/>
        <w:ind w:firstLine="482" w:firstLineChars="200"/>
        <w:rPr>
          <w:rFonts w:ascii="宋体" w:hAnsi="宋体"/>
          <w:sz w:val="24"/>
        </w:rPr>
      </w:pPr>
      <w:r>
        <w:rPr>
          <w:rFonts w:hint="eastAsia" w:ascii="宋体" w:hAnsi="宋体"/>
          <w:b/>
          <w:sz w:val="24"/>
        </w:rPr>
        <w:t>（1）公司对质量安全、环境保护、能源节约和资源综合利用以及公共卫生等方面的社会影响，并采取预防、控制和改进措施。</w:t>
      </w:r>
      <w:r>
        <w:rPr>
          <w:rFonts w:hint="eastAsia" w:ascii="宋体" w:hAnsi="宋体"/>
          <w:sz w:val="24"/>
        </w:rPr>
        <w:t xml:space="preserve"> </w:t>
      </w:r>
    </w:p>
    <w:p>
      <w:pPr>
        <w:spacing w:line="360" w:lineRule="auto"/>
        <w:ind w:firstLine="480" w:firstLineChars="200"/>
        <w:rPr>
          <w:rFonts w:ascii="宋体" w:hAnsi="宋体"/>
          <w:szCs w:val="21"/>
        </w:rPr>
      </w:pPr>
      <w:r>
        <w:rPr>
          <w:rFonts w:hint="eastAsia" w:ascii="宋体" w:hAnsi="宋体"/>
          <w:sz w:val="24"/>
        </w:rPr>
        <w:t>公司严格执行GBT19001/ISO9001 质量管理体系要求，GB/T24001/ISO14001环境管理体系和GB/T28001/OHSAS18001职业健康安全管理体系要求，公司制定了严密的质量安全防控体系，公司的产品经过充分设计论证、试验、检验、测试，才能投入正常生产运行。公司在积极推行安全体系标准化工作，获得了社会、员工、客户的广泛认可。</w:t>
      </w:r>
    </w:p>
    <w:p>
      <w:pPr>
        <w:spacing w:line="360" w:lineRule="auto"/>
        <w:ind w:firstLine="482" w:firstLineChars="200"/>
        <w:rPr>
          <w:rFonts w:ascii="宋体" w:hAnsi="宋体"/>
          <w:b/>
          <w:sz w:val="24"/>
        </w:rPr>
      </w:pPr>
      <w:r>
        <w:rPr>
          <w:rFonts w:hint="eastAsia" w:ascii="宋体" w:hAnsi="宋体"/>
          <w:b/>
          <w:sz w:val="24"/>
        </w:rPr>
        <w:t>(2)主动预见公众对产品、服务和运营方面的隐忧，做出应对准备</w:t>
      </w:r>
    </w:p>
    <w:p>
      <w:pPr>
        <w:spacing w:line="360" w:lineRule="auto"/>
        <w:ind w:firstLine="480" w:firstLineChars="200"/>
        <w:rPr>
          <w:rFonts w:ascii="宋体" w:hAnsi="宋体"/>
          <w:sz w:val="24"/>
        </w:rPr>
      </w:pPr>
      <w:r>
        <w:rPr>
          <w:rFonts w:hint="eastAsia" w:ascii="宋体" w:hAnsi="宋体"/>
          <w:sz w:val="24"/>
        </w:rPr>
        <w:t>公司在应对公众对新建基础设施的环境安全的隐忧问题上，除了确保配套环境、安全设施的同时设计、同时施工、同时交付使用外；应对公众对突发事件的隐忧，还制定应急预案并进行定期演练。</w:t>
      </w:r>
    </w:p>
    <w:p>
      <w:pPr>
        <w:spacing w:line="360" w:lineRule="auto"/>
        <w:ind w:firstLine="480" w:firstLineChars="200"/>
        <w:rPr>
          <w:rFonts w:ascii="宋体" w:hAnsi="宋体"/>
          <w:sz w:val="24"/>
        </w:rPr>
      </w:pPr>
      <w:r>
        <w:rPr>
          <w:rFonts w:hint="eastAsia" w:ascii="宋体" w:hAnsi="宋体"/>
          <w:sz w:val="24"/>
        </w:rPr>
        <w:t>在办公楼设立了明确的消防、安全应急通道、安全指示牌、应急电源指示灯等；生产现场、作业区明确安全通道、护栏、各安全消防设施存放等标识；电器设备、起重设备、机械等设备明确的载荷、安全作业指标标识；设立了疏散、集合点等等；对产品的包装安全等作出了明确要求，杜绝和抵制使用损害生态环境的木质包装，推广安全、可重复使用以及可回收的钢结构包装方法等等。</w:t>
      </w:r>
    </w:p>
    <w:p>
      <w:pPr>
        <w:spacing w:line="360" w:lineRule="auto"/>
        <w:ind w:firstLine="480" w:firstLineChars="200"/>
        <w:rPr>
          <w:rFonts w:ascii="宋体" w:hAnsi="宋体"/>
          <w:sz w:val="24"/>
        </w:rPr>
      </w:pPr>
      <w:r>
        <w:rPr>
          <w:rFonts w:hint="eastAsia" w:ascii="宋体" w:hAnsi="宋体"/>
          <w:sz w:val="24"/>
        </w:rPr>
        <w:t>公司准确把握法规、标准、政策走向及公众关注焦点，通过行业协会信息收集、专业研究机构咨询、开展公众调查等方法，组织分析论证，听取政府机构和行业专家的意见建议，找出目前关注的环保、节能、安全生产等方面问题，不断改进完善相应的对策和措施。</w:t>
      </w:r>
    </w:p>
    <w:p>
      <w:pPr>
        <w:jc w:val="center"/>
        <w:rPr>
          <w:rFonts w:ascii="宋体" w:hAnsi="宋体"/>
          <w:szCs w:val="21"/>
        </w:rPr>
      </w:pPr>
      <w:r>
        <w:rPr>
          <w:rFonts w:hint="eastAsia" w:ascii="宋体" w:hAnsi="宋体"/>
          <w:szCs w:val="21"/>
        </w:rPr>
        <w:t>表1.4-1  公司针对公众隐忧的原因分析及采取措施</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1621"/>
        <w:gridCol w:w="5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082" w:type="dxa"/>
            <w:shd w:val="clear" w:color="auto" w:fill="D7D7D7"/>
            <w:vAlign w:val="center"/>
          </w:tcPr>
          <w:p>
            <w:pPr>
              <w:spacing w:line="240" w:lineRule="exact"/>
              <w:jc w:val="center"/>
              <w:rPr>
                <w:rFonts w:ascii="宋体" w:hAnsi="宋体"/>
                <w:b/>
                <w:bCs/>
                <w:szCs w:val="21"/>
              </w:rPr>
            </w:pPr>
            <w:r>
              <w:rPr>
                <w:rFonts w:hint="eastAsia" w:ascii="宋体" w:hAnsi="宋体"/>
                <w:b/>
                <w:bCs/>
                <w:szCs w:val="21"/>
              </w:rPr>
              <w:t>公共</w:t>
            </w:r>
          </w:p>
          <w:p>
            <w:pPr>
              <w:spacing w:line="240" w:lineRule="exact"/>
              <w:jc w:val="center"/>
              <w:rPr>
                <w:rFonts w:ascii="宋体" w:hAnsi="宋体"/>
                <w:b/>
                <w:bCs/>
                <w:szCs w:val="21"/>
              </w:rPr>
            </w:pPr>
            <w:r>
              <w:rPr>
                <w:rFonts w:hint="eastAsia" w:ascii="宋体" w:hAnsi="宋体"/>
                <w:b/>
                <w:bCs/>
                <w:szCs w:val="21"/>
              </w:rPr>
              <w:t>隐忧</w:t>
            </w:r>
          </w:p>
        </w:tc>
        <w:tc>
          <w:tcPr>
            <w:tcW w:w="1621" w:type="dxa"/>
            <w:shd w:val="clear" w:color="auto" w:fill="D7D7D7"/>
            <w:vAlign w:val="center"/>
          </w:tcPr>
          <w:p>
            <w:pPr>
              <w:spacing w:line="240" w:lineRule="exact"/>
              <w:jc w:val="center"/>
              <w:rPr>
                <w:rFonts w:ascii="宋体" w:hAnsi="宋体"/>
                <w:b/>
                <w:bCs/>
                <w:szCs w:val="21"/>
              </w:rPr>
            </w:pPr>
            <w:r>
              <w:rPr>
                <w:rFonts w:hint="eastAsia" w:ascii="宋体" w:hAnsi="宋体"/>
                <w:b/>
                <w:bCs/>
                <w:szCs w:val="21"/>
              </w:rPr>
              <w:t>产生原因</w:t>
            </w:r>
          </w:p>
        </w:tc>
        <w:tc>
          <w:tcPr>
            <w:tcW w:w="5757" w:type="dxa"/>
            <w:shd w:val="clear" w:color="auto" w:fill="D7D7D7"/>
            <w:vAlign w:val="center"/>
          </w:tcPr>
          <w:p>
            <w:pPr>
              <w:spacing w:line="240" w:lineRule="exact"/>
              <w:jc w:val="center"/>
              <w:rPr>
                <w:rFonts w:ascii="宋体" w:hAnsi="宋体"/>
                <w:b/>
                <w:bCs/>
                <w:szCs w:val="21"/>
              </w:rPr>
            </w:pPr>
            <w:r>
              <w:rPr>
                <w:rFonts w:hint="eastAsia" w:ascii="宋体" w:hAnsi="宋体"/>
                <w:b/>
                <w:bCs/>
                <w:szCs w:val="21"/>
              </w:rPr>
              <w:t>应对措施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082" w:type="dxa"/>
            <w:shd w:val="clear" w:color="auto" w:fill="D7D7D7"/>
            <w:vAlign w:val="center"/>
          </w:tcPr>
          <w:p>
            <w:pPr>
              <w:spacing w:line="240" w:lineRule="exact"/>
              <w:jc w:val="center"/>
              <w:rPr>
                <w:rFonts w:ascii="宋体" w:hAnsi="宋体"/>
                <w:b/>
                <w:bCs/>
                <w:szCs w:val="21"/>
              </w:rPr>
            </w:pPr>
            <w:r>
              <w:rPr>
                <w:rFonts w:hint="eastAsia" w:ascii="宋体" w:hAnsi="宋体"/>
                <w:b/>
                <w:bCs/>
                <w:szCs w:val="21"/>
              </w:rPr>
              <w:t>产品安全</w:t>
            </w:r>
          </w:p>
        </w:tc>
        <w:tc>
          <w:tcPr>
            <w:tcW w:w="1621" w:type="dxa"/>
            <w:vAlign w:val="center"/>
          </w:tcPr>
          <w:p>
            <w:pPr>
              <w:spacing w:line="240" w:lineRule="exact"/>
              <w:rPr>
                <w:rFonts w:ascii="宋体" w:hAnsi="宋体"/>
                <w:szCs w:val="21"/>
              </w:rPr>
            </w:pPr>
            <w:r>
              <w:rPr>
                <w:rFonts w:hint="eastAsia" w:ascii="宋体" w:hAnsi="宋体"/>
                <w:szCs w:val="21"/>
              </w:rPr>
              <w:t>有害物质</w:t>
            </w:r>
          </w:p>
        </w:tc>
        <w:tc>
          <w:tcPr>
            <w:tcW w:w="5757" w:type="dxa"/>
            <w:vAlign w:val="center"/>
          </w:tcPr>
          <w:p>
            <w:pPr>
              <w:spacing w:line="240" w:lineRule="exact"/>
              <w:rPr>
                <w:rFonts w:ascii="宋体" w:hAnsi="宋体"/>
                <w:szCs w:val="21"/>
              </w:rPr>
            </w:pPr>
            <w:r>
              <w:rPr>
                <w:rFonts w:hint="eastAsia" w:ascii="宋体" w:hAnsi="宋体"/>
                <w:szCs w:val="21"/>
              </w:rPr>
              <w:t>杜绝使用有害身体健康、有害环境安全的物质和材料。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082" w:type="dxa"/>
            <w:shd w:val="clear" w:color="auto" w:fill="D7D7D7"/>
            <w:vAlign w:val="center"/>
          </w:tcPr>
          <w:p>
            <w:pPr>
              <w:spacing w:line="240" w:lineRule="exact"/>
              <w:jc w:val="center"/>
              <w:rPr>
                <w:rFonts w:ascii="宋体" w:hAnsi="宋体"/>
                <w:b/>
                <w:bCs/>
                <w:szCs w:val="21"/>
              </w:rPr>
            </w:pPr>
            <w:r>
              <w:rPr>
                <w:rFonts w:hint="eastAsia" w:ascii="宋体" w:hAnsi="宋体"/>
                <w:b/>
                <w:bCs/>
                <w:szCs w:val="21"/>
              </w:rPr>
              <w:t>环境</w:t>
            </w:r>
          </w:p>
          <w:p>
            <w:pPr>
              <w:spacing w:line="240" w:lineRule="exact"/>
              <w:jc w:val="center"/>
              <w:rPr>
                <w:rFonts w:ascii="宋体" w:hAnsi="宋体"/>
                <w:b/>
                <w:bCs/>
                <w:szCs w:val="21"/>
              </w:rPr>
            </w:pPr>
            <w:r>
              <w:rPr>
                <w:rFonts w:hint="eastAsia" w:ascii="宋体" w:hAnsi="宋体"/>
                <w:b/>
                <w:bCs/>
                <w:szCs w:val="21"/>
              </w:rPr>
              <w:t>污染</w:t>
            </w:r>
          </w:p>
        </w:tc>
        <w:tc>
          <w:tcPr>
            <w:tcW w:w="1621" w:type="dxa"/>
            <w:vAlign w:val="center"/>
          </w:tcPr>
          <w:p>
            <w:pPr>
              <w:spacing w:line="240" w:lineRule="exact"/>
              <w:rPr>
                <w:rFonts w:ascii="宋体" w:hAnsi="宋体"/>
                <w:szCs w:val="21"/>
              </w:rPr>
            </w:pPr>
            <w:r>
              <w:rPr>
                <w:rFonts w:hint="eastAsia" w:ascii="宋体" w:hAnsi="宋体"/>
                <w:szCs w:val="21"/>
              </w:rPr>
              <w:t>废水、废气、噪音、固体废弃物等会对周边环境带来污染。</w:t>
            </w:r>
          </w:p>
        </w:tc>
        <w:tc>
          <w:tcPr>
            <w:tcW w:w="5757" w:type="dxa"/>
            <w:vAlign w:val="center"/>
          </w:tcPr>
          <w:p>
            <w:pPr>
              <w:spacing w:line="240" w:lineRule="exact"/>
              <w:rPr>
                <w:rFonts w:ascii="宋体" w:hAnsi="宋体"/>
                <w:szCs w:val="21"/>
              </w:rPr>
            </w:pPr>
            <w:r>
              <w:rPr>
                <w:rFonts w:hint="eastAsia" w:ascii="宋体" w:hAnsi="宋体"/>
                <w:szCs w:val="21"/>
              </w:rPr>
              <w:t>对环境会带来污染的烟尘严格执行除尘系统净化达标后排放；冷却用水系统实行与周边隔离的独立循环系统，实现零排放；废渣铁固体废弃物采用集中处理分类回收再利用；造型用砂实现了100%回收再利用。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1082" w:type="dxa"/>
            <w:shd w:val="clear" w:color="auto" w:fill="D7D7D7"/>
            <w:vAlign w:val="center"/>
          </w:tcPr>
          <w:p>
            <w:pPr>
              <w:spacing w:line="240" w:lineRule="exact"/>
              <w:jc w:val="center"/>
              <w:rPr>
                <w:rFonts w:ascii="宋体" w:hAnsi="宋体"/>
                <w:b/>
                <w:bCs/>
                <w:szCs w:val="21"/>
              </w:rPr>
            </w:pPr>
            <w:r>
              <w:rPr>
                <w:rFonts w:hint="eastAsia" w:ascii="宋体" w:hAnsi="宋体"/>
                <w:b/>
                <w:bCs/>
                <w:szCs w:val="21"/>
              </w:rPr>
              <w:t>能源消耗</w:t>
            </w:r>
          </w:p>
        </w:tc>
        <w:tc>
          <w:tcPr>
            <w:tcW w:w="1621" w:type="dxa"/>
            <w:vAlign w:val="center"/>
          </w:tcPr>
          <w:p>
            <w:pPr>
              <w:spacing w:line="240" w:lineRule="exact"/>
              <w:rPr>
                <w:rFonts w:ascii="宋体" w:hAnsi="宋体"/>
                <w:szCs w:val="21"/>
              </w:rPr>
            </w:pPr>
            <w:r>
              <w:rPr>
                <w:rFonts w:hint="eastAsia" w:ascii="宋体" w:hAnsi="宋体"/>
                <w:szCs w:val="21"/>
              </w:rPr>
              <w:t>水、电、蒸汽、天然气消耗。</w:t>
            </w:r>
          </w:p>
        </w:tc>
        <w:tc>
          <w:tcPr>
            <w:tcW w:w="5757" w:type="dxa"/>
            <w:vAlign w:val="center"/>
          </w:tcPr>
          <w:p>
            <w:pPr>
              <w:spacing w:line="240" w:lineRule="exact"/>
              <w:rPr>
                <w:rFonts w:ascii="宋体" w:hAnsi="宋体"/>
                <w:szCs w:val="21"/>
              </w:rPr>
            </w:pPr>
            <w:r>
              <w:rPr>
                <w:rFonts w:hint="eastAsia" w:ascii="宋体" w:hAnsi="宋体"/>
                <w:szCs w:val="21"/>
              </w:rPr>
              <w:t>严格杜绝跑、冒、滴漏现象，自觉抵制长明灯、无人灯，做到随用随开、随停随闭，响应国家峰谷用电政策。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1082" w:type="dxa"/>
            <w:shd w:val="clear" w:color="auto" w:fill="D7D7D7"/>
            <w:vAlign w:val="center"/>
          </w:tcPr>
          <w:p>
            <w:pPr>
              <w:spacing w:line="240" w:lineRule="exact"/>
              <w:jc w:val="center"/>
              <w:rPr>
                <w:rFonts w:ascii="宋体" w:hAnsi="宋体"/>
                <w:b/>
                <w:bCs/>
                <w:szCs w:val="21"/>
              </w:rPr>
            </w:pPr>
            <w:r>
              <w:rPr>
                <w:rFonts w:hint="eastAsia" w:ascii="宋体" w:hAnsi="宋体"/>
                <w:b/>
                <w:bCs/>
                <w:szCs w:val="21"/>
              </w:rPr>
              <w:t>安全生产</w:t>
            </w:r>
          </w:p>
        </w:tc>
        <w:tc>
          <w:tcPr>
            <w:tcW w:w="1621" w:type="dxa"/>
            <w:vAlign w:val="center"/>
          </w:tcPr>
          <w:p>
            <w:pPr>
              <w:spacing w:line="240" w:lineRule="exact"/>
              <w:rPr>
                <w:rFonts w:ascii="宋体" w:hAnsi="宋体"/>
                <w:szCs w:val="21"/>
              </w:rPr>
            </w:pPr>
            <w:r>
              <w:rPr>
                <w:rFonts w:hint="eastAsia" w:ascii="宋体" w:hAnsi="宋体"/>
                <w:szCs w:val="21"/>
              </w:rPr>
              <w:t>火警、火灾事故会对周边居民生活带来影响。</w:t>
            </w:r>
          </w:p>
        </w:tc>
        <w:tc>
          <w:tcPr>
            <w:tcW w:w="5757" w:type="dxa"/>
            <w:vAlign w:val="center"/>
          </w:tcPr>
          <w:p>
            <w:pPr>
              <w:spacing w:line="240" w:lineRule="exact"/>
              <w:rPr>
                <w:rFonts w:ascii="宋体" w:hAnsi="宋体"/>
                <w:szCs w:val="21"/>
              </w:rPr>
            </w:pPr>
            <w:r>
              <w:rPr>
                <w:rFonts w:hint="eastAsia" w:ascii="宋体" w:hAnsi="宋体"/>
                <w:szCs w:val="21"/>
              </w:rPr>
              <w:t>安全生产以预防为主，从源头抓起，从制度层面到每一个作业环节，杜绝安全隐患源，从领导到员工人人关心安全，抵制不安全行为，杜绝安全事故发生。同时做到突发事件应急预案，实现事故为零。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1082" w:type="dxa"/>
            <w:shd w:val="clear" w:color="auto" w:fill="D7D7D7"/>
            <w:vAlign w:val="center"/>
          </w:tcPr>
          <w:p>
            <w:pPr>
              <w:spacing w:line="240" w:lineRule="exact"/>
              <w:jc w:val="center"/>
              <w:rPr>
                <w:rFonts w:ascii="宋体" w:hAnsi="宋体"/>
                <w:b/>
                <w:bCs/>
                <w:szCs w:val="21"/>
              </w:rPr>
            </w:pPr>
            <w:r>
              <w:rPr>
                <w:rFonts w:hint="eastAsia" w:ascii="宋体" w:hAnsi="宋体"/>
                <w:b/>
                <w:bCs/>
                <w:szCs w:val="21"/>
              </w:rPr>
              <w:t>公共</w:t>
            </w:r>
          </w:p>
          <w:p>
            <w:pPr>
              <w:spacing w:line="240" w:lineRule="exact"/>
              <w:jc w:val="center"/>
              <w:rPr>
                <w:rFonts w:ascii="宋体" w:hAnsi="宋体"/>
                <w:b/>
                <w:bCs/>
                <w:szCs w:val="21"/>
              </w:rPr>
            </w:pPr>
            <w:r>
              <w:rPr>
                <w:rFonts w:hint="eastAsia" w:ascii="宋体" w:hAnsi="宋体"/>
                <w:b/>
                <w:bCs/>
                <w:szCs w:val="21"/>
              </w:rPr>
              <w:t>卫生</w:t>
            </w:r>
          </w:p>
        </w:tc>
        <w:tc>
          <w:tcPr>
            <w:tcW w:w="1621" w:type="dxa"/>
            <w:vAlign w:val="center"/>
          </w:tcPr>
          <w:p>
            <w:pPr>
              <w:spacing w:line="240" w:lineRule="exact"/>
              <w:rPr>
                <w:rFonts w:ascii="宋体" w:hAnsi="宋体"/>
                <w:szCs w:val="21"/>
              </w:rPr>
            </w:pPr>
            <w:r>
              <w:rPr>
                <w:rFonts w:hint="eastAsia" w:ascii="宋体" w:hAnsi="宋体"/>
                <w:szCs w:val="21"/>
              </w:rPr>
              <w:t>生活垃圾、固废等会影响员工健康与环境</w:t>
            </w:r>
          </w:p>
        </w:tc>
        <w:tc>
          <w:tcPr>
            <w:tcW w:w="5757" w:type="dxa"/>
            <w:vAlign w:val="center"/>
          </w:tcPr>
          <w:p>
            <w:pPr>
              <w:spacing w:line="240" w:lineRule="exact"/>
              <w:rPr>
                <w:rFonts w:ascii="宋体" w:hAnsi="宋体"/>
                <w:szCs w:val="21"/>
              </w:rPr>
            </w:pPr>
            <w:r>
              <w:rPr>
                <w:rFonts w:hint="eastAsia" w:ascii="宋体" w:hAnsi="宋体"/>
                <w:szCs w:val="21"/>
              </w:rPr>
              <w:t>推行自查自纠为主，环境卫生无死角，生活垃圾废弃物分类存放，HSE检查做到每天有检查、当天整改有提高，奖惩及时兑现；社会监督为辅，自觉接受社会监督，定期听取周边社区、政府部门意见，不断改进提高。</w:t>
            </w:r>
          </w:p>
        </w:tc>
      </w:tr>
    </w:tbl>
    <w:p>
      <w:pPr>
        <w:spacing w:line="360" w:lineRule="auto"/>
        <w:ind w:firstLine="480" w:firstLineChars="200"/>
        <w:rPr>
          <w:rFonts w:ascii="宋体" w:hAnsi="宋体"/>
          <w:sz w:val="24"/>
        </w:rPr>
      </w:pPr>
    </w:p>
    <w:p>
      <w:pPr>
        <w:spacing w:line="360" w:lineRule="auto"/>
        <w:ind w:firstLine="482" w:firstLineChars="200"/>
        <w:rPr>
          <w:rFonts w:ascii="宋体" w:hAnsi="宋体"/>
          <w:b/>
          <w:sz w:val="24"/>
        </w:rPr>
      </w:pPr>
      <w:r>
        <w:rPr>
          <w:rFonts w:hint="eastAsia" w:ascii="宋体" w:hAnsi="宋体"/>
          <w:b/>
          <w:sz w:val="24"/>
        </w:rPr>
        <w:t>(3)识别和评估相关风险，在合法合规的基础上持续提升</w:t>
      </w:r>
    </w:p>
    <w:p>
      <w:pPr>
        <w:spacing w:line="360" w:lineRule="auto"/>
        <w:ind w:firstLine="480" w:firstLineChars="200"/>
        <w:rPr>
          <w:rFonts w:ascii="宋体" w:hAnsi="宋体"/>
          <w:sz w:val="24"/>
        </w:rPr>
      </w:pPr>
      <w:r>
        <w:rPr>
          <w:rFonts w:hint="eastAsia" w:ascii="宋体" w:hAnsi="宋体"/>
          <w:sz w:val="24"/>
        </w:rPr>
        <w:t>高层将法律、法规作为必须条件和最低要求的同时，深刻认识到肩负的社会责任的意义，在识别和评估相关风险的基础上，建立遵循法律法规要求和应对相关风险的关键过程及绩效指标，制定预防、控制程序和改进方案，在持续改进的基础上达到更高水平。</w:t>
      </w:r>
    </w:p>
    <w:p>
      <w:pPr>
        <w:spacing w:line="360" w:lineRule="auto"/>
        <w:ind w:firstLine="480" w:firstLineChars="200"/>
        <w:rPr>
          <w:rFonts w:ascii="宋体" w:hAnsi="宋体"/>
          <w:sz w:val="24"/>
        </w:rPr>
      </w:pPr>
      <w:r>
        <w:rPr>
          <w:rFonts w:hint="eastAsia" w:ascii="宋体" w:hAnsi="宋体"/>
          <w:sz w:val="24"/>
        </w:rPr>
        <w:t>以节能减排、保护环境为例：在严格执行“环境影响评价”和环保“三同时”制度、严格执行各项环境保护法律法规，落实环保减排、节能降耗的有关政策的同时，逐步削减和淘汰落后的传统产品产能；以HSE职业健康、安全、环境为主线，进一步改善工作环境，提高污染防治和“三废”综合利用设施的配套水平，加大环境污染治理力度，形成环境保护长效工作机制。</w:t>
      </w:r>
    </w:p>
    <w:p>
      <w:pPr>
        <w:spacing w:line="360" w:lineRule="auto"/>
        <w:rPr>
          <w:rFonts w:ascii="宋体" w:hAnsi="宋体"/>
          <w:sz w:val="24"/>
        </w:rPr>
      </w:pPr>
      <w:r>
        <w:rPr>
          <w:rFonts w:hint="eastAsia" w:ascii="宋体" w:hAnsi="宋体"/>
          <w:sz w:val="24"/>
        </w:rPr>
        <w:t>公司专门成立了HSE办公室，落实HSE职业健康、安全、环境考核奖惩制度，建立各车间能耗定额指标考核体系，大力开展节能、环保培训和宣传教育，瞄准国际一流企业标准，投入专项资金用于环境治理、新产品研发和新工艺改进工作。</w:t>
      </w:r>
    </w:p>
    <w:p>
      <w:pPr>
        <w:spacing w:line="360" w:lineRule="auto"/>
        <w:outlineLvl w:val="1"/>
        <w:rPr>
          <w:rFonts w:ascii="宋体" w:hAnsi="宋体"/>
          <w:b/>
          <w:sz w:val="24"/>
        </w:rPr>
      </w:pPr>
      <w:bookmarkStart w:id="27" w:name="_Toc522175454"/>
      <w:r>
        <w:rPr>
          <w:rFonts w:hint="eastAsia" w:ascii="宋体" w:hAnsi="宋体"/>
          <w:b/>
          <w:sz w:val="24"/>
        </w:rPr>
        <w:t>2、道德行为</w:t>
      </w:r>
      <w:bookmarkEnd w:id="27"/>
    </w:p>
    <w:p>
      <w:pPr>
        <w:spacing w:line="360" w:lineRule="auto"/>
        <w:ind w:firstLine="480" w:firstLineChars="200"/>
        <w:rPr>
          <w:rFonts w:ascii="宋体" w:hAnsi="宋体"/>
          <w:sz w:val="24"/>
        </w:rPr>
      </w:pPr>
      <w:r>
        <w:rPr>
          <w:rFonts w:hint="eastAsia" w:ascii="宋体" w:hAnsi="宋体"/>
          <w:sz w:val="24"/>
        </w:rPr>
        <w:t>企业道德行为是组织在决策、行动以及与利益相关方间交往活动中，遵守道德准则和职业操守的表现。从高层领导到一般员工都应遵守道德规范，并影响组织的利益相关方。</w:t>
      </w:r>
    </w:p>
    <w:p>
      <w:pPr>
        <w:spacing w:line="360" w:lineRule="auto"/>
        <w:ind w:firstLine="480" w:firstLineChars="200"/>
        <w:rPr>
          <w:rFonts w:ascii="宋体" w:hAnsi="宋体"/>
          <w:sz w:val="24"/>
        </w:rPr>
      </w:pPr>
      <w:r>
        <w:rPr>
          <w:rFonts w:hint="eastAsia" w:ascii="宋体" w:hAnsi="宋体"/>
          <w:sz w:val="24"/>
        </w:rPr>
        <w:t>高层领导从自身做起，秉承“敬业、奉献、诚信、守法、创新、务实、共赢”的价值观，在公司内外形成了良好的道德行为规范。公司建立并持续完善企业道德行为检测体系，规范管理、诚信对待顾客，公正对待供应商，形成从高层到基层、产业链由上游到下游一整套的评价体系，规范道德行为。</w:t>
      </w:r>
    </w:p>
    <w:p>
      <w:pPr>
        <w:spacing w:line="360" w:lineRule="auto"/>
        <w:ind w:firstLine="482" w:firstLineChars="200"/>
        <w:rPr>
          <w:rFonts w:ascii="宋体" w:hAnsi="宋体"/>
          <w:b/>
          <w:sz w:val="24"/>
        </w:rPr>
      </w:pPr>
      <w:r>
        <w:rPr>
          <w:rFonts w:hint="eastAsia" w:ascii="宋体" w:hAnsi="宋体"/>
          <w:b/>
          <w:sz w:val="24"/>
        </w:rPr>
        <w:t>(1)营造诚信守法经营环境</w:t>
      </w:r>
    </w:p>
    <w:p>
      <w:pPr>
        <w:spacing w:line="360" w:lineRule="auto"/>
        <w:ind w:firstLine="480" w:firstLineChars="200"/>
        <w:rPr>
          <w:rFonts w:ascii="宋体" w:hAnsi="宋体"/>
          <w:sz w:val="24"/>
        </w:rPr>
      </w:pPr>
      <w:r>
        <w:rPr>
          <w:rFonts w:hint="eastAsia" w:ascii="宋体" w:hAnsi="宋体"/>
          <w:sz w:val="24"/>
        </w:rPr>
        <w:t>诚信作为公司组织道德行为中的基本准则。高层领导率先垂范，在整个组织中倡导诚信、践行诚信。</w:t>
      </w:r>
    </w:p>
    <w:p>
      <w:pPr>
        <w:spacing w:line="360" w:lineRule="auto"/>
        <w:ind w:firstLine="482" w:firstLineChars="200"/>
        <w:rPr>
          <w:rFonts w:ascii="宋体" w:hAnsi="宋体"/>
          <w:sz w:val="24"/>
        </w:rPr>
      </w:pPr>
      <w:r>
        <w:rPr>
          <w:rFonts w:hint="eastAsia" w:ascii="宋体" w:hAnsi="宋体"/>
          <w:b/>
          <w:sz w:val="24"/>
        </w:rPr>
        <w:t>员工诚信守法的承诺：</w:t>
      </w:r>
      <w:r>
        <w:rPr>
          <w:rFonts w:hint="eastAsia" w:ascii="宋体" w:hAnsi="宋体"/>
          <w:sz w:val="24"/>
        </w:rPr>
        <w:t>企业与所有员工签订劳动合同的同时，还签订了《基本行为规范承诺书》，对员工的职业道德、诚信守法、廉洁自律、保密等进行了严格规定。并在《企业道德行为规范监督检查与考核奖惩制度》中，对员工的诚信守法行为进行了规定：</w:t>
      </w:r>
    </w:p>
    <w:p>
      <w:pPr>
        <w:numPr>
          <w:ilvl w:val="0"/>
          <w:numId w:val="4"/>
        </w:numPr>
        <w:spacing w:line="360" w:lineRule="auto"/>
        <w:ind w:left="0" w:firstLine="480" w:firstLineChars="200"/>
        <w:rPr>
          <w:rFonts w:ascii="宋体" w:hAnsi="宋体"/>
          <w:sz w:val="24"/>
        </w:rPr>
      </w:pPr>
      <w:r>
        <w:rPr>
          <w:rFonts w:hint="eastAsia" w:ascii="宋体" w:hAnsi="宋体"/>
          <w:sz w:val="24"/>
        </w:rPr>
        <w:t>在员工或其他人发生违规、违纪，损害公司利益行为时，对举证举报者或利益维护人打击报复，造成人身、精神、财产等损害的，公司将对违规违纪者予以解除劳动关系，追究其造成损害的责任；</w:t>
      </w:r>
    </w:p>
    <w:p>
      <w:pPr>
        <w:numPr>
          <w:ilvl w:val="0"/>
          <w:numId w:val="4"/>
        </w:numPr>
        <w:spacing w:line="360" w:lineRule="auto"/>
        <w:ind w:left="0" w:firstLine="480" w:firstLineChars="200"/>
        <w:rPr>
          <w:rFonts w:ascii="宋体" w:hAnsi="宋体"/>
          <w:sz w:val="24"/>
        </w:rPr>
      </w:pPr>
      <w:r>
        <w:rPr>
          <w:rFonts w:hint="eastAsia" w:ascii="宋体" w:hAnsi="宋体"/>
          <w:sz w:val="24"/>
        </w:rPr>
        <w:t>因渎职或过失泄漏公司生产经营或商业技术机密者，视情节程度考核500-5000元／次，对故意者予以解除劳动关系，并要求赔偿公司的遭受的经济利益损失；</w:t>
      </w:r>
    </w:p>
    <w:p>
      <w:pPr>
        <w:numPr>
          <w:ilvl w:val="0"/>
          <w:numId w:val="4"/>
        </w:numPr>
        <w:spacing w:line="360" w:lineRule="auto"/>
        <w:ind w:left="0" w:firstLine="480" w:firstLineChars="200"/>
        <w:rPr>
          <w:rFonts w:ascii="宋体" w:hAnsi="宋体"/>
          <w:sz w:val="24"/>
        </w:rPr>
      </w:pPr>
      <w:r>
        <w:rPr>
          <w:rFonts w:hint="eastAsia" w:ascii="宋体" w:hAnsi="宋体"/>
          <w:sz w:val="24"/>
        </w:rPr>
        <w:t>利用工作职务之便以权谋私，假公济私，侵吞公司财产者，视情节程度予以解除劳动关系，并要求赔偿公司的遭受的经济利益损失；</w:t>
      </w:r>
    </w:p>
    <w:p>
      <w:pPr>
        <w:numPr>
          <w:ilvl w:val="0"/>
          <w:numId w:val="4"/>
        </w:numPr>
        <w:spacing w:line="360" w:lineRule="auto"/>
        <w:ind w:left="0" w:firstLine="480" w:firstLineChars="200"/>
        <w:rPr>
          <w:rFonts w:ascii="宋体" w:hAnsi="宋体"/>
          <w:sz w:val="24"/>
        </w:rPr>
      </w:pPr>
      <w:r>
        <w:rPr>
          <w:rFonts w:hint="eastAsia" w:ascii="宋体" w:hAnsi="宋体"/>
          <w:sz w:val="24"/>
        </w:rPr>
        <w:t>利用职权贪污受贿，向利益关联方索要好处，给予通报记过处理，没收收受的物品、礼券、现金等，并考核2倍于涉及金额，情节严重者予以解除劳动关系；</w:t>
      </w:r>
    </w:p>
    <w:p>
      <w:pPr>
        <w:numPr>
          <w:ilvl w:val="0"/>
          <w:numId w:val="4"/>
        </w:numPr>
        <w:spacing w:line="360" w:lineRule="auto"/>
        <w:ind w:left="0" w:firstLine="480" w:firstLineChars="200"/>
        <w:rPr>
          <w:rFonts w:ascii="宋体" w:hAnsi="宋体"/>
          <w:sz w:val="24"/>
        </w:rPr>
      </w:pPr>
      <w:r>
        <w:rPr>
          <w:rFonts w:hint="eastAsia" w:ascii="宋体" w:hAnsi="宋体"/>
          <w:sz w:val="24"/>
        </w:rPr>
        <w:t>对故意损坏公司重要文件或公物者，予以解除劳动关系，并要求赔偿公司的遭受的经济损失；</w:t>
      </w:r>
    </w:p>
    <w:p>
      <w:pPr>
        <w:numPr>
          <w:ilvl w:val="0"/>
          <w:numId w:val="4"/>
        </w:numPr>
        <w:spacing w:line="360" w:lineRule="auto"/>
        <w:ind w:left="0" w:firstLine="480" w:firstLineChars="200"/>
        <w:rPr>
          <w:rFonts w:ascii="宋体" w:hAnsi="宋体"/>
          <w:sz w:val="24"/>
        </w:rPr>
      </w:pPr>
      <w:r>
        <w:rPr>
          <w:rFonts w:hint="eastAsia" w:ascii="宋体" w:hAnsi="宋体"/>
          <w:sz w:val="24"/>
        </w:rPr>
        <w:t>对故意制造事故、工伤骗取赔偿，进行敲诈勒索者，予以解除劳动关系；</w:t>
      </w:r>
    </w:p>
    <w:p>
      <w:pPr>
        <w:numPr>
          <w:ilvl w:val="0"/>
          <w:numId w:val="4"/>
        </w:numPr>
        <w:spacing w:line="360" w:lineRule="auto"/>
        <w:ind w:left="0" w:firstLine="480" w:firstLineChars="200"/>
        <w:rPr>
          <w:rFonts w:ascii="宋体" w:hAnsi="宋体"/>
          <w:sz w:val="24"/>
        </w:rPr>
      </w:pPr>
      <w:r>
        <w:rPr>
          <w:rFonts w:hint="eastAsia" w:ascii="宋体" w:hAnsi="宋体"/>
          <w:sz w:val="24"/>
        </w:rPr>
        <w:t>使用虚假证件、资质，冒名顶替，隐瞒自身重要情况（如犯罪、吸毒、参与非法组织、患有严重疾病）的，一旦发现立即解除劳动关系；</w:t>
      </w:r>
    </w:p>
    <w:p>
      <w:pPr>
        <w:numPr>
          <w:ilvl w:val="0"/>
          <w:numId w:val="4"/>
        </w:numPr>
        <w:spacing w:line="360" w:lineRule="auto"/>
        <w:ind w:left="0" w:firstLine="480" w:firstLineChars="200"/>
        <w:rPr>
          <w:rFonts w:ascii="宋体" w:hAnsi="宋体"/>
          <w:sz w:val="24"/>
        </w:rPr>
      </w:pPr>
      <w:r>
        <w:rPr>
          <w:rFonts w:hint="eastAsia" w:ascii="宋体" w:hAnsi="宋体"/>
          <w:sz w:val="24"/>
        </w:rPr>
        <w:t>对道德败坏，通过威胁、诽谤、侮辱、调戏、骚扰等方式妨碍他人，给予通报记过处理外，考核200-500元／次，情节严重者予以解除劳动关系；</w:t>
      </w:r>
    </w:p>
    <w:p>
      <w:pPr>
        <w:numPr>
          <w:ilvl w:val="0"/>
          <w:numId w:val="4"/>
        </w:numPr>
        <w:spacing w:line="360" w:lineRule="auto"/>
        <w:ind w:left="0" w:firstLine="480" w:firstLineChars="200"/>
        <w:rPr>
          <w:rFonts w:ascii="宋体" w:hAnsi="宋体"/>
          <w:sz w:val="24"/>
        </w:rPr>
      </w:pPr>
      <w:r>
        <w:rPr>
          <w:rFonts w:hint="eastAsia" w:ascii="宋体" w:hAnsi="宋体"/>
          <w:sz w:val="24"/>
        </w:rPr>
        <w:t>对怂恿员工怠工或罢工，造谣惑众、恣意闹事、诋毁公司声誉者，予以解除劳动关系；</w:t>
      </w:r>
    </w:p>
    <w:p>
      <w:pPr>
        <w:numPr>
          <w:ilvl w:val="0"/>
          <w:numId w:val="4"/>
        </w:numPr>
        <w:spacing w:line="360" w:lineRule="auto"/>
        <w:ind w:left="0" w:firstLine="480" w:firstLineChars="200"/>
        <w:rPr>
          <w:rFonts w:ascii="宋体" w:hAnsi="宋体"/>
          <w:sz w:val="24"/>
        </w:rPr>
      </w:pPr>
      <w:r>
        <w:rPr>
          <w:rFonts w:hint="eastAsia" w:ascii="宋体" w:hAnsi="宋体"/>
          <w:sz w:val="24"/>
        </w:rPr>
        <w:t>对偷盗工厂物资者，处以2倍罚款，并予以解除劳动关系。对行为恶劣触犯法律的，提交公安司法部门处理；</w:t>
      </w:r>
    </w:p>
    <w:p>
      <w:pPr>
        <w:numPr>
          <w:ilvl w:val="0"/>
          <w:numId w:val="4"/>
        </w:numPr>
        <w:spacing w:line="360" w:lineRule="auto"/>
        <w:ind w:left="0" w:firstLine="480" w:firstLineChars="200"/>
        <w:rPr>
          <w:rFonts w:ascii="宋体" w:hAnsi="宋体"/>
          <w:sz w:val="24"/>
        </w:rPr>
      </w:pPr>
      <w:r>
        <w:rPr>
          <w:rFonts w:hint="eastAsia" w:ascii="宋体" w:hAnsi="宋体"/>
          <w:sz w:val="24"/>
        </w:rPr>
        <w:t>涉嫌违法犯罪的交司法部门追究法律责任。。</w:t>
      </w:r>
    </w:p>
    <w:p>
      <w:pPr>
        <w:spacing w:line="360" w:lineRule="auto"/>
        <w:ind w:firstLine="482" w:firstLineChars="200"/>
        <w:rPr>
          <w:rFonts w:ascii="宋体" w:hAnsi="宋体"/>
          <w:sz w:val="24"/>
        </w:rPr>
      </w:pPr>
      <w:r>
        <w:rPr>
          <w:rFonts w:hint="eastAsia" w:ascii="宋体" w:hAnsi="宋体"/>
          <w:b/>
          <w:sz w:val="24"/>
        </w:rPr>
        <w:t>供应商管理：</w:t>
      </w:r>
      <w:r>
        <w:rPr>
          <w:rFonts w:hint="eastAsia" w:ascii="宋体" w:hAnsi="宋体"/>
          <w:sz w:val="24"/>
        </w:rPr>
        <w:t>公司在与供应商签订格式条款采购合同时，本着公平公正的原则，充分保障供应商和公司的合理利益。公司建立了严格的供应商评价制度，对新供应商的资质、诚信记录、质量等进行严格的审查。每年对所有供应商的诚信情况进行评估，对出现诚信问题的供应商予以淘汰或处罚。</w:t>
      </w:r>
    </w:p>
    <w:p>
      <w:pPr>
        <w:spacing w:line="360" w:lineRule="auto"/>
        <w:ind w:firstLine="482" w:firstLineChars="200"/>
        <w:rPr>
          <w:rFonts w:ascii="宋体" w:hAnsi="宋体"/>
          <w:sz w:val="24"/>
        </w:rPr>
      </w:pPr>
      <w:r>
        <w:rPr>
          <w:rFonts w:hint="eastAsia" w:ascii="宋体" w:hAnsi="宋体"/>
          <w:b/>
          <w:sz w:val="24"/>
        </w:rPr>
        <w:t>客户合同管理：</w:t>
      </w:r>
      <w:r>
        <w:rPr>
          <w:rFonts w:hint="eastAsia" w:ascii="宋体" w:hAnsi="宋体"/>
          <w:sz w:val="24"/>
        </w:rPr>
        <w:t>公司对客户以诚信、公平、守法为原则，制订并认真执行《采购合同流程》，对涉及的商务、技术等相关条款由相关部门进行相应的技术和商务评审，并由对口分管领导签批，确保公司和客户的利益不受损害。</w:t>
      </w:r>
    </w:p>
    <w:p>
      <w:pPr>
        <w:spacing w:line="360" w:lineRule="auto"/>
        <w:ind w:firstLine="482" w:firstLineChars="200"/>
        <w:rPr>
          <w:rFonts w:ascii="宋体" w:hAnsi="宋体"/>
          <w:b/>
          <w:sz w:val="24"/>
        </w:rPr>
      </w:pPr>
      <w:r>
        <w:rPr>
          <w:rFonts w:hint="eastAsia" w:ascii="宋体" w:hAnsi="宋体"/>
          <w:b/>
          <w:sz w:val="24"/>
        </w:rPr>
        <w:t>(2)道德规范的监测</w:t>
      </w:r>
    </w:p>
    <w:p>
      <w:pPr>
        <w:spacing w:line="360" w:lineRule="auto"/>
        <w:ind w:firstLine="480" w:firstLineChars="200"/>
        <w:rPr>
          <w:rFonts w:ascii="宋体" w:hAnsi="宋体"/>
          <w:sz w:val="24"/>
        </w:rPr>
      </w:pPr>
      <w:r>
        <w:rPr>
          <w:rFonts w:hint="eastAsia" w:ascii="宋体" w:hAnsi="宋体"/>
          <w:sz w:val="24"/>
        </w:rPr>
        <w:t>企业日常运营中的道德行为主要表现为：企业内部对投资方、领导及员工负责；在企业间对供应商及合作伙伴负责；企业外部对客户、政府和社会负责。公司的道德行为融入了公司运营的每个环节，最终凝聚为公司的企业文化。</w:t>
      </w:r>
    </w:p>
    <w:p>
      <w:pPr>
        <w:spacing w:line="360" w:lineRule="auto"/>
        <w:ind w:firstLine="480" w:firstLineChars="200"/>
        <w:rPr>
          <w:rFonts w:ascii="宋体" w:hAnsi="宋体"/>
          <w:b/>
          <w:szCs w:val="21"/>
        </w:rPr>
      </w:pPr>
      <w:r>
        <w:rPr>
          <w:rFonts w:hint="eastAsia" w:ascii="宋体" w:hAnsi="宋体"/>
          <w:sz w:val="24"/>
        </w:rPr>
        <w:t>公司倡导诚信经营，在质量安全、节能环保、纳税等方面，严格遵守法律法规、行业标准以及客户要求等道德规范，主动接受员工、投资人、客户、社会各方的监督、监测，经得起时间与各方的考量。</w:t>
      </w:r>
    </w:p>
    <w:p>
      <w:pPr>
        <w:pStyle w:val="25"/>
        <w:spacing w:line="360" w:lineRule="auto"/>
        <w:ind w:left="644" w:firstLine="0" w:firstLineChars="0"/>
        <w:rPr>
          <w:rFonts w:ascii="宋体" w:hAnsi="宋体" w:cs="宋体"/>
          <w:sz w:val="24"/>
        </w:rPr>
      </w:pPr>
    </w:p>
    <w:p>
      <w:pPr>
        <w:pStyle w:val="25"/>
        <w:spacing w:line="360" w:lineRule="auto"/>
        <w:ind w:left="644" w:firstLine="0" w:firstLineChars="0"/>
        <w:rPr>
          <w:rFonts w:ascii="宋体" w:hAnsi="宋体" w:cs="宋体"/>
          <w:sz w:val="24"/>
        </w:rPr>
      </w:pPr>
    </w:p>
    <w:p>
      <w:pPr>
        <w:pStyle w:val="25"/>
        <w:spacing w:line="360" w:lineRule="auto"/>
        <w:ind w:left="644" w:firstLine="0" w:firstLineChars="0"/>
        <w:jc w:val="right"/>
        <w:rPr>
          <w:rFonts w:ascii="宋体" w:hAnsi="宋体" w:cs="宋体"/>
          <w:b/>
          <w:sz w:val="24"/>
        </w:rPr>
      </w:pPr>
      <w:r>
        <w:rPr>
          <w:rFonts w:hint="eastAsia" w:ascii="宋体" w:hAnsi="宋体" w:cs="宋体"/>
          <w:b/>
          <w:sz w:val="24"/>
          <w:lang w:val="en-US" w:eastAsia="zh-CN"/>
        </w:rPr>
        <w:t>江苏诚意住宅工业科技发展</w:t>
      </w:r>
      <w:r>
        <w:rPr>
          <w:rFonts w:hint="eastAsia" w:ascii="宋体" w:hAnsi="宋体" w:cs="宋体"/>
          <w:b/>
          <w:sz w:val="24"/>
        </w:rPr>
        <w:t>有限公司</w:t>
      </w:r>
    </w:p>
    <w:p>
      <w:pPr>
        <w:pStyle w:val="25"/>
        <w:spacing w:line="360" w:lineRule="auto"/>
        <w:ind w:left="644" w:firstLine="0" w:firstLineChars="0"/>
        <w:jc w:val="right"/>
        <w:rPr>
          <w:rFonts w:ascii="宋体" w:hAnsi="宋体"/>
          <w:b/>
          <w:szCs w:val="21"/>
        </w:rPr>
      </w:pPr>
      <w:r>
        <w:rPr>
          <w:rFonts w:hint="eastAsia" w:ascii="宋体" w:hAnsi="宋体" w:cs="宋体"/>
          <w:b/>
          <w:sz w:val="24"/>
        </w:rPr>
        <w:t>20</w:t>
      </w:r>
      <w:r>
        <w:rPr>
          <w:rFonts w:hint="eastAsia" w:ascii="宋体" w:hAnsi="宋体" w:cs="宋体"/>
          <w:b/>
          <w:sz w:val="24"/>
          <w:lang w:val="en-US" w:eastAsia="zh-CN"/>
        </w:rPr>
        <w:t>24</w:t>
      </w:r>
      <w:r>
        <w:rPr>
          <w:rFonts w:hint="eastAsia" w:ascii="宋体" w:hAnsi="宋体" w:cs="宋体"/>
          <w:b/>
          <w:sz w:val="24"/>
        </w:rPr>
        <w:t>年</w:t>
      </w:r>
      <w:r>
        <w:rPr>
          <w:rFonts w:hint="eastAsia" w:ascii="宋体" w:hAnsi="宋体" w:cs="宋体"/>
          <w:b/>
          <w:sz w:val="24"/>
          <w:lang w:val="en-US" w:eastAsia="zh-CN"/>
        </w:rPr>
        <w:t>1</w:t>
      </w:r>
      <w:r>
        <w:rPr>
          <w:rFonts w:hint="eastAsia" w:ascii="宋体" w:hAnsi="宋体" w:cs="宋体"/>
          <w:b/>
          <w:sz w:val="24"/>
        </w:rPr>
        <w:t>月</w:t>
      </w:r>
      <w:bookmarkStart w:id="28" w:name="_GoBack"/>
      <w:bookmarkEnd w:id="28"/>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FFA677"/>
    <w:multiLevelType w:val="singleLevel"/>
    <w:tmpl w:val="F1FFA677"/>
    <w:lvl w:ilvl="0" w:tentative="0">
      <w:start w:val="3"/>
      <w:numFmt w:val="chineseCounting"/>
      <w:suff w:val="nothing"/>
      <w:lvlText w:val="%1、"/>
      <w:lvlJc w:val="left"/>
      <w:rPr>
        <w:rFonts w:hint="eastAsia"/>
      </w:rPr>
    </w:lvl>
  </w:abstractNum>
  <w:abstractNum w:abstractNumId="1">
    <w:nsid w:val="17C62D07"/>
    <w:multiLevelType w:val="multilevel"/>
    <w:tmpl w:val="17C62D07"/>
    <w:lvl w:ilvl="0" w:tentative="0">
      <w:start w:val="2"/>
      <w:numFmt w:val="decimal"/>
      <w:lvlText w:val="%1、"/>
      <w:lvlJc w:val="left"/>
      <w:pPr>
        <w:ind w:left="504" w:hanging="504"/>
      </w:pPr>
      <w:rPr>
        <w:rFonts w:hint="default" w:ascii="Times New Roman" w:hAnsi="Times New Roman"/>
        <w:b/>
        <w:sz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3601806"/>
    <w:multiLevelType w:val="multilevel"/>
    <w:tmpl w:val="33601806"/>
    <w:lvl w:ilvl="0" w:tentative="0">
      <w:start w:val="1"/>
      <w:numFmt w:val="bullet"/>
      <w:lvlText w:val=""/>
      <w:lvlJc w:val="left"/>
      <w:pPr>
        <w:ind w:left="766" w:hanging="420"/>
      </w:pPr>
      <w:rPr>
        <w:rFonts w:hint="default" w:ascii="Wingdings" w:hAnsi="Wingdings"/>
      </w:rPr>
    </w:lvl>
    <w:lvl w:ilvl="1" w:tentative="0">
      <w:start w:val="1"/>
      <w:numFmt w:val="bullet"/>
      <w:lvlText w:val=""/>
      <w:lvlJc w:val="left"/>
      <w:pPr>
        <w:ind w:left="1186" w:hanging="420"/>
      </w:pPr>
      <w:rPr>
        <w:rFonts w:hint="default" w:ascii="Wingdings" w:hAnsi="Wingdings"/>
      </w:rPr>
    </w:lvl>
    <w:lvl w:ilvl="2" w:tentative="0">
      <w:start w:val="1"/>
      <w:numFmt w:val="bullet"/>
      <w:lvlText w:val=""/>
      <w:lvlJc w:val="left"/>
      <w:pPr>
        <w:ind w:left="1606" w:hanging="420"/>
      </w:pPr>
      <w:rPr>
        <w:rFonts w:hint="default" w:ascii="Wingdings" w:hAnsi="Wingdings"/>
      </w:rPr>
    </w:lvl>
    <w:lvl w:ilvl="3" w:tentative="0">
      <w:start w:val="1"/>
      <w:numFmt w:val="bullet"/>
      <w:lvlText w:val=""/>
      <w:lvlJc w:val="left"/>
      <w:pPr>
        <w:ind w:left="2026" w:hanging="420"/>
      </w:pPr>
      <w:rPr>
        <w:rFonts w:hint="default" w:ascii="Wingdings" w:hAnsi="Wingdings"/>
      </w:rPr>
    </w:lvl>
    <w:lvl w:ilvl="4" w:tentative="0">
      <w:start w:val="1"/>
      <w:numFmt w:val="bullet"/>
      <w:lvlText w:val=""/>
      <w:lvlJc w:val="left"/>
      <w:pPr>
        <w:ind w:left="2446" w:hanging="420"/>
      </w:pPr>
      <w:rPr>
        <w:rFonts w:hint="default" w:ascii="Wingdings" w:hAnsi="Wingdings"/>
      </w:rPr>
    </w:lvl>
    <w:lvl w:ilvl="5" w:tentative="0">
      <w:start w:val="1"/>
      <w:numFmt w:val="bullet"/>
      <w:lvlText w:val=""/>
      <w:lvlJc w:val="left"/>
      <w:pPr>
        <w:ind w:left="2866" w:hanging="420"/>
      </w:pPr>
      <w:rPr>
        <w:rFonts w:hint="default" w:ascii="Wingdings" w:hAnsi="Wingdings"/>
      </w:rPr>
    </w:lvl>
    <w:lvl w:ilvl="6" w:tentative="0">
      <w:start w:val="1"/>
      <w:numFmt w:val="bullet"/>
      <w:lvlText w:val=""/>
      <w:lvlJc w:val="left"/>
      <w:pPr>
        <w:ind w:left="3286" w:hanging="420"/>
      </w:pPr>
      <w:rPr>
        <w:rFonts w:hint="default" w:ascii="Wingdings" w:hAnsi="Wingdings"/>
      </w:rPr>
    </w:lvl>
    <w:lvl w:ilvl="7" w:tentative="0">
      <w:start w:val="1"/>
      <w:numFmt w:val="bullet"/>
      <w:lvlText w:val=""/>
      <w:lvlJc w:val="left"/>
      <w:pPr>
        <w:ind w:left="3706" w:hanging="420"/>
      </w:pPr>
      <w:rPr>
        <w:rFonts w:hint="default" w:ascii="Wingdings" w:hAnsi="Wingdings"/>
      </w:rPr>
    </w:lvl>
    <w:lvl w:ilvl="8" w:tentative="0">
      <w:start w:val="1"/>
      <w:numFmt w:val="bullet"/>
      <w:lvlText w:val=""/>
      <w:lvlJc w:val="left"/>
      <w:pPr>
        <w:ind w:left="4126" w:hanging="420"/>
      </w:pPr>
      <w:rPr>
        <w:rFonts w:hint="default" w:ascii="Wingdings" w:hAnsi="Wingdings"/>
      </w:rPr>
    </w:lvl>
  </w:abstractNum>
  <w:abstractNum w:abstractNumId="3">
    <w:nsid w:val="6F555011"/>
    <w:multiLevelType w:val="multilevel"/>
    <w:tmpl w:val="6F555011"/>
    <w:lvl w:ilvl="0" w:tentative="0">
      <w:start w:val="1"/>
      <w:numFmt w:val="japaneseCounting"/>
      <w:lvlText w:val="%1、"/>
      <w:lvlJc w:val="left"/>
      <w:pPr>
        <w:ind w:left="672" w:hanging="672"/>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BjODFkYjc2ZmYxZmFhMDE4ZDhhNjliM2I3ODA5YWEifQ=="/>
  </w:docVars>
  <w:rsids>
    <w:rsidRoot w:val="00172A27"/>
    <w:rsid w:val="000207F5"/>
    <w:rsid w:val="00035E93"/>
    <w:rsid w:val="00037858"/>
    <w:rsid w:val="00041287"/>
    <w:rsid w:val="00051CDC"/>
    <w:rsid w:val="000643BC"/>
    <w:rsid w:val="00064FFB"/>
    <w:rsid w:val="00067495"/>
    <w:rsid w:val="000959A1"/>
    <w:rsid w:val="000D46F1"/>
    <w:rsid w:val="000D6735"/>
    <w:rsid w:val="000E01E1"/>
    <w:rsid w:val="000E35B6"/>
    <w:rsid w:val="001027B9"/>
    <w:rsid w:val="00103E43"/>
    <w:rsid w:val="00133062"/>
    <w:rsid w:val="00135608"/>
    <w:rsid w:val="00151A4B"/>
    <w:rsid w:val="00152516"/>
    <w:rsid w:val="00172A27"/>
    <w:rsid w:val="0019082C"/>
    <w:rsid w:val="00191BA6"/>
    <w:rsid w:val="001A5033"/>
    <w:rsid w:val="001A5E8E"/>
    <w:rsid w:val="001A60C2"/>
    <w:rsid w:val="001B6DBB"/>
    <w:rsid w:val="001D3495"/>
    <w:rsid w:val="001E4418"/>
    <w:rsid w:val="001F446E"/>
    <w:rsid w:val="00200861"/>
    <w:rsid w:val="002227DC"/>
    <w:rsid w:val="00225A05"/>
    <w:rsid w:val="00227494"/>
    <w:rsid w:val="00232BD4"/>
    <w:rsid w:val="002531EF"/>
    <w:rsid w:val="00253CFE"/>
    <w:rsid w:val="00285497"/>
    <w:rsid w:val="002B1BD3"/>
    <w:rsid w:val="002C6D14"/>
    <w:rsid w:val="002E342F"/>
    <w:rsid w:val="002F5220"/>
    <w:rsid w:val="00303067"/>
    <w:rsid w:val="003224C3"/>
    <w:rsid w:val="00350615"/>
    <w:rsid w:val="00356169"/>
    <w:rsid w:val="003703F0"/>
    <w:rsid w:val="00384CB3"/>
    <w:rsid w:val="00390D69"/>
    <w:rsid w:val="0039385D"/>
    <w:rsid w:val="00394BCB"/>
    <w:rsid w:val="003A7DD9"/>
    <w:rsid w:val="003B74D4"/>
    <w:rsid w:val="003B7BE0"/>
    <w:rsid w:val="003C45CF"/>
    <w:rsid w:val="003D59A4"/>
    <w:rsid w:val="00432516"/>
    <w:rsid w:val="00433423"/>
    <w:rsid w:val="00434B85"/>
    <w:rsid w:val="00461811"/>
    <w:rsid w:val="004765AD"/>
    <w:rsid w:val="004943F1"/>
    <w:rsid w:val="004A6AB7"/>
    <w:rsid w:val="004B0BFD"/>
    <w:rsid w:val="004B3863"/>
    <w:rsid w:val="004C38F6"/>
    <w:rsid w:val="004D29A4"/>
    <w:rsid w:val="004D62F8"/>
    <w:rsid w:val="00514552"/>
    <w:rsid w:val="005155E3"/>
    <w:rsid w:val="00516A7E"/>
    <w:rsid w:val="0052242F"/>
    <w:rsid w:val="00542CF0"/>
    <w:rsid w:val="00563799"/>
    <w:rsid w:val="00582869"/>
    <w:rsid w:val="005A541E"/>
    <w:rsid w:val="005A5A6B"/>
    <w:rsid w:val="005B458E"/>
    <w:rsid w:val="005B4887"/>
    <w:rsid w:val="005B5AFC"/>
    <w:rsid w:val="005C1391"/>
    <w:rsid w:val="005F7BDD"/>
    <w:rsid w:val="006000FB"/>
    <w:rsid w:val="00602025"/>
    <w:rsid w:val="00613D7C"/>
    <w:rsid w:val="00613FDA"/>
    <w:rsid w:val="0063000C"/>
    <w:rsid w:val="00634C26"/>
    <w:rsid w:val="00637A47"/>
    <w:rsid w:val="00652903"/>
    <w:rsid w:val="006544E6"/>
    <w:rsid w:val="00684BB2"/>
    <w:rsid w:val="006856E1"/>
    <w:rsid w:val="00686118"/>
    <w:rsid w:val="006A2C76"/>
    <w:rsid w:val="006A40FC"/>
    <w:rsid w:val="006A4E28"/>
    <w:rsid w:val="006A6A51"/>
    <w:rsid w:val="006B250A"/>
    <w:rsid w:val="006B4018"/>
    <w:rsid w:val="006D4479"/>
    <w:rsid w:val="006E369A"/>
    <w:rsid w:val="006F0CBD"/>
    <w:rsid w:val="006F3C49"/>
    <w:rsid w:val="00705EE5"/>
    <w:rsid w:val="00747662"/>
    <w:rsid w:val="00760DBE"/>
    <w:rsid w:val="00762C1E"/>
    <w:rsid w:val="00764912"/>
    <w:rsid w:val="007977C6"/>
    <w:rsid w:val="007A1665"/>
    <w:rsid w:val="007A1FD7"/>
    <w:rsid w:val="007A43FE"/>
    <w:rsid w:val="007B33C3"/>
    <w:rsid w:val="007B43F3"/>
    <w:rsid w:val="007C4447"/>
    <w:rsid w:val="007D5C8F"/>
    <w:rsid w:val="007F0DC3"/>
    <w:rsid w:val="008049A5"/>
    <w:rsid w:val="008053AC"/>
    <w:rsid w:val="0081215C"/>
    <w:rsid w:val="0081687F"/>
    <w:rsid w:val="00837439"/>
    <w:rsid w:val="00843ED9"/>
    <w:rsid w:val="00857D02"/>
    <w:rsid w:val="00882FEB"/>
    <w:rsid w:val="008C46CD"/>
    <w:rsid w:val="008D7C14"/>
    <w:rsid w:val="008F14D1"/>
    <w:rsid w:val="008F314B"/>
    <w:rsid w:val="00912E1C"/>
    <w:rsid w:val="009163BA"/>
    <w:rsid w:val="00920C1E"/>
    <w:rsid w:val="00960FE9"/>
    <w:rsid w:val="00984CF9"/>
    <w:rsid w:val="00997340"/>
    <w:rsid w:val="009A03FE"/>
    <w:rsid w:val="009B5DB5"/>
    <w:rsid w:val="009D121A"/>
    <w:rsid w:val="009D6464"/>
    <w:rsid w:val="00A04819"/>
    <w:rsid w:val="00A16E16"/>
    <w:rsid w:val="00A46A54"/>
    <w:rsid w:val="00A62DCD"/>
    <w:rsid w:val="00A674C2"/>
    <w:rsid w:val="00A73313"/>
    <w:rsid w:val="00A8087E"/>
    <w:rsid w:val="00A95833"/>
    <w:rsid w:val="00AA1FBB"/>
    <w:rsid w:val="00AD49F1"/>
    <w:rsid w:val="00AE737D"/>
    <w:rsid w:val="00B22C73"/>
    <w:rsid w:val="00B23C46"/>
    <w:rsid w:val="00B545B6"/>
    <w:rsid w:val="00B57122"/>
    <w:rsid w:val="00B65F86"/>
    <w:rsid w:val="00B74DF4"/>
    <w:rsid w:val="00B75FEC"/>
    <w:rsid w:val="00BD51C4"/>
    <w:rsid w:val="00C0023B"/>
    <w:rsid w:val="00C02AEB"/>
    <w:rsid w:val="00C30843"/>
    <w:rsid w:val="00C3594D"/>
    <w:rsid w:val="00C41373"/>
    <w:rsid w:val="00C97A50"/>
    <w:rsid w:val="00CA316B"/>
    <w:rsid w:val="00CC3906"/>
    <w:rsid w:val="00CC46E4"/>
    <w:rsid w:val="00CE301A"/>
    <w:rsid w:val="00D000F4"/>
    <w:rsid w:val="00D530D3"/>
    <w:rsid w:val="00D63736"/>
    <w:rsid w:val="00D75496"/>
    <w:rsid w:val="00D80F1D"/>
    <w:rsid w:val="00D81325"/>
    <w:rsid w:val="00DB20A6"/>
    <w:rsid w:val="00DC427B"/>
    <w:rsid w:val="00DD3AEE"/>
    <w:rsid w:val="00DF6E30"/>
    <w:rsid w:val="00E174F3"/>
    <w:rsid w:val="00E178FB"/>
    <w:rsid w:val="00E31C8D"/>
    <w:rsid w:val="00E32F3C"/>
    <w:rsid w:val="00E4638E"/>
    <w:rsid w:val="00E47FE4"/>
    <w:rsid w:val="00E506C7"/>
    <w:rsid w:val="00E52B8E"/>
    <w:rsid w:val="00E576E5"/>
    <w:rsid w:val="00E84013"/>
    <w:rsid w:val="00E964CE"/>
    <w:rsid w:val="00EA00DB"/>
    <w:rsid w:val="00EB2680"/>
    <w:rsid w:val="00EB60DB"/>
    <w:rsid w:val="00EE4699"/>
    <w:rsid w:val="00EF2AD6"/>
    <w:rsid w:val="00F036BF"/>
    <w:rsid w:val="00F06901"/>
    <w:rsid w:val="00F23E6E"/>
    <w:rsid w:val="00F240BA"/>
    <w:rsid w:val="00F36A52"/>
    <w:rsid w:val="00F441DF"/>
    <w:rsid w:val="00F45487"/>
    <w:rsid w:val="00F46F4A"/>
    <w:rsid w:val="00F65B57"/>
    <w:rsid w:val="00F91A3B"/>
    <w:rsid w:val="00FA27B5"/>
    <w:rsid w:val="00FA45C1"/>
    <w:rsid w:val="00FE2EA2"/>
    <w:rsid w:val="00FF353E"/>
    <w:rsid w:val="03FE7E2F"/>
    <w:rsid w:val="19ED01D8"/>
    <w:rsid w:val="2B2E2724"/>
    <w:rsid w:val="441643AC"/>
    <w:rsid w:val="4A9B5439"/>
    <w:rsid w:val="4E0955AB"/>
    <w:rsid w:val="542D40B9"/>
    <w:rsid w:val="5E4965B3"/>
    <w:rsid w:val="5FF85ED9"/>
    <w:rsid w:val="79B97E53"/>
    <w:rsid w:val="7C1C1D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4">
    <w:name w:val="heading 2"/>
    <w:basedOn w:val="1"/>
    <w:next w:val="1"/>
    <w:link w:val="23"/>
    <w:autoRedefine/>
    <w:qFormat/>
    <w:uiPriority w:val="0"/>
    <w:pPr>
      <w:keepNext/>
      <w:keepLines/>
      <w:spacing w:before="260" w:after="260" w:line="413" w:lineRule="auto"/>
      <w:outlineLvl w:val="1"/>
    </w:pPr>
    <w:rPr>
      <w:rFonts w:ascii="Arial" w:hAnsi="Arial" w:eastAsia="黑体"/>
      <w:b/>
      <w:sz w:val="32"/>
    </w:rPr>
  </w:style>
  <w:style w:type="paragraph" w:styleId="5">
    <w:name w:val="heading 3"/>
    <w:basedOn w:val="1"/>
    <w:next w:val="1"/>
    <w:link w:val="21"/>
    <w:autoRedefine/>
    <w:qFormat/>
    <w:uiPriority w:val="0"/>
    <w:pPr>
      <w:keepNext/>
      <w:keepLines/>
      <w:spacing w:before="260" w:after="260" w:line="413" w:lineRule="auto"/>
      <w:outlineLvl w:val="2"/>
    </w:pPr>
    <w:rPr>
      <w:b/>
      <w:sz w:val="32"/>
    </w:rPr>
  </w:style>
  <w:style w:type="character" w:default="1" w:styleId="19">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2"/>
    <w:basedOn w:val="1"/>
    <w:autoRedefine/>
    <w:qFormat/>
    <w:uiPriority w:val="99"/>
    <w:pPr>
      <w:spacing w:line="360" w:lineRule="auto"/>
      <w:ind w:firstLine="560" w:firstLineChars="200"/>
    </w:pPr>
    <w:rPr>
      <w:sz w:val="28"/>
      <w:szCs w:val="28"/>
    </w:rPr>
  </w:style>
  <w:style w:type="paragraph" w:styleId="6">
    <w:name w:val="toc 7"/>
    <w:basedOn w:val="1"/>
    <w:next w:val="1"/>
    <w:autoRedefine/>
    <w:qFormat/>
    <w:uiPriority w:val="0"/>
    <w:pPr>
      <w:ind w:left="2520" w:leftChars="1200"/>
    </w:pPr>
  </w:style>
  <w:style w:type="paragraph" w:styleId="7">
    <w:name w:val="toc 5"/>
    <w:basedOn w:val="1"/>
    <w:next w:val="1"/>
    <w:autoRedefine/>
    <w:qFormat/>
    <w:uiPriority w:val="0"/>
    <w:pPr>
      <w:ind w:left="1680" w:leftChars="800"/>
    </w:pPr>
  </w:style>
  <w:style w:type="paragraph" w:styleId="8">
    <w:name w:val="toc 3"/>
    <w:basedOn w:val="1"/>
    <w:next w:val="1"/>
    <w:autoRedefine/>
    <w:qFormat/>
    <w:uiPriority w:val="39"/>
    <w:pPr>
      <w:ind w:left="840" w:leftChars="400"/>
    </w:pPr>
  </w:style>
  <w:style w:type="paragraph" w:styleId="9">
    <w:name w:val="toc 8"/>
    <w:basedOn w:val="1"/>
    <w:next w:val="1"/>
    <w:autoRedefine/>
    <w:qFormat/>
    <w:uiPriority w:val="0"/>
    <w:pPr>
      <w:ind w:left="2940" w:leftChars="1400"/>
    </w:pPr>
  </w:style>
  <w:style w:type="paragraph" w:styleId="10">
    <w:name w:val="Balloon Text"/>
    <w:basedOn w:val="1"/>
    <w:link w:val="22"/>
    <w:autoRedefine/>
    <w:unhideWhenUsed/>
    <w:qFormat/>
    <w:uiPriority w:val="99"/>
    <w:rPr>
      <w:sz w:val="18"/>
      <w:szCs w:val="18"/>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autoRedefine/>
    <w:qFormat/>
    <w:uiPriority w:val="0"/>
    <w:rPr>
      <w:b/>
    </w:rPr>
  </w:style>
  <w:style w:type="paragraph" w:styleId="14">
    <w:name w:val="toc 4"/>
    <w:basedOn w:val="1"/>
    <w:next w:val="1"/>
    <w:autoRedefine/>
    <w:qFormat/>
    <w:uiPriority w:val="0"/>
    <w:pPr>
      <w:ind w:left="1260" w:leftChars="600"/>
    </w:pPr>
  </w:style>
  <w:style w:type="paragraph" w:styleId="15">
    <w:name w:val="toc 6"/>
    <w:basedOn w:val="1"/>
    <w:next w:val="1"/>
    <w:autoRedefine/>
    <w:qFormat/>
    <w:uiPriority w:val="0"/>
    <w:pPr>
      <w:ind w:left="2100" w:leftChars="1000"/>
    </w:pPr>
  </w:style>
  <w:style w:type="paragraph" w:styleId="16">
    <w:name w:val="toc 2"/>
    <w:basedOn w:val="1"/>
    <w:next w:val="1"/>
    <w:autoRedefine/>
    <w:qFormat/>
    <w:uiPriority w:val="39"/>
    <w:pPr>
      <w:ind w:left="420" w:leftChars="200"/>
    </w:pPr>
  </w:style>
  <w:style w:type="paragraph" w:styleId="17">
    <w:name w:val="toc 9"/>
    <w:basedOn w:val="1"/>
    <w:next w:val="1"/>
    <w:autoRedefine/>
    <w:qFormat/>
    <w:uiPriority w:val="0"/>
    <w:pPr>
      <w:ind w:left="3360" w:leftChars="1600"/>
    </w:pPr>
  </w:style>
  <w:style w:type="character" w:styleId="20">
    <w:name w:val="Hyperlink"/>
    <w:autoRedefine/>
    <w:unhideWhenUsed/>
    <w:qFormat/>
    <w:uiPriority w:val="99"/>
    <w:rPr>
      <w:color w:val="0563C1"/>
      <w:u w:val="single"/>
    </w:rPr>
  </w:style>
  <w:style w:type="character" w:customStyle="1" w:styleId="21">
    <w:name w:val="标题 3 字符"/>
    <w:link w:val="5"/>
    <w:autoRedefine/>
    <w:qFormat/>
    <w:uiPriority w:val="0"/>
    <w:rPr>
      <w:b/>
      <w:sz w:val="32"/>
    </w:rPr>
  </w:style>
  <w:style w:type="character" w:customStyle="1" w:styleId="22">
    <w:name w:val="批注框文本 字符"/>
    <w:basedOn w:val="19"/>
    <w:link w:val="10"/>
    <w:autoRedefine/>
    <w:semiHidden/>
    <w:qFormat/>
    <w:uiPriority w:val="99"/>
    <w:rPr>
      <w:kern w:val="2"/>
      <w:sz w:val="18"/>
      <w:szCs w:val="18"/>
    </w:rPr>
  </w:style>
  <w:style w:type="character" w:customStyle="1" w:styleId="23">
    <w:name w:val="标题 2 字符"/>
    <w:basedOn w:val="19"/>
    <w:link w:val="4"/>
    <w:autoRedefine/>
    <w:qFormat/>
    <w:uiPriority w:val="0"/>
    <w:rPr>
      <w:rFonts w:ascii="Arial" w:hAnsi="Arial" w:eastAsia="黑体"/>
      <w:b/>
      <w:kern w:val="2"/>
      <w:sz w:val="32"/>
    </w:rPr>
  </w:style>
  <w:style w:type="paragraph" w:customStyle="1" w:styleId="24">
    <w:name w:val="列出段落1"/>
    <w:basedOn w:val="1"/>
    <w:autoRedefine/>
    <w:qFormat/>
    <w:uiPriority w:val="99"/>
    <w:pPr>
      <w:ind w:firstLine="420" w:firstLineChars="200"/>
    </w:pPr>
  </w:style>
  <w:style w:type="paragraph" w:styleId="25">
    <w:name w:val="List Paragraph"/>
    <w:basedOn w:val="1"/>
    <w:autoRedefine/>
    <w:unhideWhenUsed/>
    <w:qFormat/>
    <w:uiPriority w:val="99"/>
    <w:pPr>
      <w:ind w:firstLine="420" w:firstLineChars="200"/>
    </w:pPr>
  </w:style>
  <w:style w:type="character" w:customStyle="1" w:styleId="26">
    <w:name w:val="font11"/>
    <w:basedOn w:val="19"/>
    <w:autoRedefine/>
    <w:qFormat/>
    <w:uiPriority w:val="0"/>
    <w:rPr>
      <w:rFonts w:hint="default" w:ascii="Calibri" w:hAnsi="Calibri" w:cs="Calibri"/>
      <w:color w:val="000000"/>
      <w:sz w:val="20"/>
      <w:szCs w:val="20"/>
      <w:u w:val="none"/>
    </w:rPr>
  </w:style>
  <w:style w:type="character" w:customStyle="1" w:styleId="27">
    <w:name w:val="font31"/>
    <w:basedOn w:val="19"/>
    <w:autoRedefine/>
    <w:qFormat/>
    <w:uiPriority w:val="0"/>
    <w:rPr>
      <w:rFonts w:hint="default" w:ascii="Times New Roman" w:hAnsi="Times New Roman" w:cs="Times New Roman"/>
      <w:b/>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BD7B73-F425-474D-871C-50CB8BF43736}">
  <ds:schemaRefs/>
</ds:datastoreItem>
</file>

<file path=docProps/app.xml><?xml version="1.0" encoding="utf-8"?>
<Properties xmlns="http://schemas.openxmlformats.org/officeDocument/2006/extended-properties" xmlns:vt="http://schemas.openxmlformats.org/officeDocument/2006/docPropsVTypes">
  <Template>Normal.dotm</Template>
  <Company>yzr</Company>
  <Pages>20</Pages>
  <Words>2146</Words>
  <Characters>12234</Characters>
  <Lines>101</Lines>
  <Paragraphs>28</Paragraphs>
  <TotalTime>25</TotalTime>
  <ScaleCrop>false</ScaleCrop>
  <LinksUpToDate>false</LinksUpToDate>
  <CharactersWithSpaces>14352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2024-01-14T00:15:00Z</dcterms:created>
  <dc:creator>user</dc:creator>
  <cp:lastModifiedBy>甲木</cp:lastModifiedBy>
  <cp:lastPrinted>2018-08-15T13:55:00Z</cp:lastPrinted>
  <dcterms:modified xsi:type="dcterms:W3CDTF">2024-01-14T02:33:22Z</dcterms:modified>
  <dc:title>上能电气股份有限公司社会责任报告</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B4557E582B8B4D0ABBD3B534B740F992_12</vt:lpwstr>
  </property>
</Properties>
</file>